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407E" w14:textId="53186751" w:rsidR="006F5FD0" w:rsidRPr="00B33EE6" w:rsidRDefault="006F5FD0" w:rsidP="00347E84">
      <w:pPr>
        <w:jc w:val="center"/>
        <w:rPr>
          <w:rStyle w:val="Strong"/>
          <w:sz w:val="28"/>
          <w:szCs w:val="28"/>
          <w:lang w:val="en-GB"/>
        </w:rPr>
      </w:pPr>
      <w:r w:rsidRPr="00B33EE6">
        <w:rPr>
          <w:b/>
          <w:sz w:val="28"/>
          <w:szCs w:val="28"/>
          <w:lang w:val="en-GB"/>
        </w:rPr>
        <w:t>S</w:t>
      </w:r>
      <w:r w:rsidR="00DE3C11">
        <w:rPr>
          <w:b/>
          <w:sz w:val="28"/>
          <w:szCs w:val="28"/>
          <w:lang w:val="en-GB"/>
        </w:rPr>
        <w:t>UPPLY</w:t>
      </w:r>
      <w:r w:rsidRPr="00B33EE6">
        <w:rPr>
          <w:b/>
          <w:sz w:val="28"/>
          <w:szCs w:val="28"/>
          <w:lang w:val="en-GB"/>
        </w:rPr>
        <w:t xml:space="preserve"> </w:t>
      </w:r>
      <w:r w:rsidR="00FA17FC" w:rsidRPr="00B33EE6">
        <w:rPr>
          <w:b/>
          <w:sz w:val="28"/>
          <w:szCs w:val="28"/>
          <w:lang w:val="en-GB"/>
        </w:rPr>
        <w:t xml:space="preserve">CONTRACT </w:t>
      </w:r>
      <w:r w:rsidRPr="00B33EE6">
        <w:rPr>
          <w:b/>
          <w:sz w:val="28"/>
          <w:szCs w:val="28"/>
          <w:lang w:val="en-GB"/>
        </w:rPr>
        <w:t>NOTICE</w:t>
      </w:r>
    </w:p>
    <w:p w14:paraId="3363FF0F" w14:textId="08BF74DA" w:rsidR="006F5FD0" w:rsidRPr="00B33EE6" w:rsidRDefault="00466A42" w:rsidP="00347E84">
      <w:pPr>
        <w:jc w:val="center"/>
        <w:rPr>
          <w:sz w:val="28"/>
          <w:szCs w:val="28"/>
          <w:lang w:val="en-GB"/>
        </w:rPr>
      </w:pPr>
      <w:r w:rsidRPr="00466A42">
        <w:t xml:space="preserve"> </w:t>
      </w:r>
      <w:r w:rsidRPr="00466A42">
        <w:rPr>
          <w:rStyle w:val="Strong"/>
          <w:sz w:val="28"/>
          <w:szCs w:val="28"/>
          <w:lang w:val="en-GB"/>
        </w:rPr>
        <w:t xml:space="preserve">Improving infrastructure through installation of the equipment for urban bus stop facilities powered on sun power 2 </w:t>
      </w:r>
      <w:r w:rsidR="000C05E9" w:rsidRPr="00466A42">
        <w:rPr>
          <w:rStyle w:val="Strong"/>
          <w:sz w:val="28"/>
          <w:szCs w:val="28"/>
          <w:lang w:val="en-GB"/>
        </w:rPr>
        <w:t>units (</w:t>
      </w:r>
      <w:r w:rsidRPr="00466A42">
        <w:rPr>
          <w:rStyle w:val="Strong"/>
          <w:sz w:val="28"/>
          <w:szCs w:val="28"/>
          <w:lang w:val="en-GB"/>
        </w:rPr>
        <w:t xml:space="preserve">D1.1.3), Installing bicycle and electric scooter stations whit solar power chargers and 5 </w:t>
      </w:r>
      <w:r w:rsidR="000C05E9" w:rsidRPr="00466A42">
        <w:rPr>
          <w:rStyle w:val="Strong"/>
          <w:sz w:val="28"/>
          <w:szCs w:val="28"/>
          <w:lang w:val="en-GB"/>
        </w:rPr>
        <w:t>units (</w:t>
      </w:r>
      <w:r w:rsidRPr="00466A42">
        <w:rPr>
          <w:rStyle w:val="Strong"/>
          <w:sz w:val="28"/>
          <w:szCs w:val="28"/>
          <w:lang w:val="en-GB"/>
        </w:rPr>
        <w:t xml:space="preserve">D1.1.3) and supply bicycle seats for children 15 </w:t>
      </w:r>
      <w:r w:rsidR="000C05E9" w:rsidRPr="00466A42">
        <w:rPr>
          <w:rStyle w:val="Strong"/>
          <w:sz w:val="28"/>
          <w:szCs w:val="28"/>
          <w:lang w:val="en-GB"/>
        </w:rPr>
        <w:t>units (</w:t>
      </w:r>
      <w:r w:rsidRPr="00466A42">
        <w:rPr>
          <w:rStyle w:val="Strong"/>
          <w:sz w:val="28"/>
          <w:szCs w:val="28"/>
          <w:lang w:val="en-GB"/>
        </w:rPr>
        <w:t>D1.1.3).</w:t>
      </w:r>
      <w:r w:rsidR="006F5FD0" w:rsidRPr="00B33EE6">
        <w:rPr>
          <w:rStyle w:val="Strong"/>
          <w:sz w:val="28"/>
          <w:szCs w:val="28"/>
          <w:lang w:val="en-GB"/>
        </w:rPr>
        <w:br/>
      </w:r>
      <w:r>
        <w:rPr>
          <w:rStyle w:val="Strong"/>
          <w:sz w:val="28"/>
          <w:szCs w:val="28"/>
          <w:lang w:val="en-GB"/>
        </w:rPr>
        <w:t>Sveti Nikole, Macedonia</w:t>
      </w:r>
    </w:p>
    <w:p w14:paraId="1BE20B1E" w14:textId="77777777" w:rsidR="006F5FD0" w:rsidRPr="00B33EE6" w:rsidRDefault="007727F3" w:rsidP="00371C5B">
      <w:pPr>
        <w:keepNext/>
        <w:widowControl/>
        <w:spacing w:before="240" w:after="120"/>
        <w:ind w:left="284" w:hanging="284"/>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49D136FE" w14:textId="7AF6973D" w:rsidR="006F5FD0" w:rsidRPr="00B33EE6" w:rsidRDefault="006F5FD0" w:rsidP="00371C5B">
      <w:pPr>
        <w:pStyle w:val="Blockquote"/>
        <w:spacing w:before="40" w:after="60"/>
        <w:ind w:left="284" w:right="0"/>
        <w:rPr>
          <w:i/>
          <w:sz w:val="22"/>
          <w:szCs w:val="22"/>
          <w:lang w:val="en-GB"/>
        </w:rPr>
      </w:pPr>
      <w:r w:rsidRPr="00B33EE6">
        <w:rPr>
          <w:rStyle w:val="Emphasis"/>
          <w:i w:val="0"/>
          <w:sz w:val="22"/>
          <w:szCs w:val="22"/>
          <w:lang w:val="en-GB"/>
        </w:rPr>
        <w:t xml:space="preserve"> </w:t>
      </w:r>
      <w:r w:rsidR="00466A42" w:rsidRPr="00466A42">
        <w:rPr>
          <w:rStyle w:val="Emphasis"/>
          <w:i w:val="0"/>
          <w:sz w:val="22"/>
          <w:szCs w:val="22"/>
          <w:lang w:val="en-GB"/>
        </w:rPr>
        <w:t>IPA ADRION 53 CITYMOVE (B.L. 5.1.; 5.2 and 5.3.), Tender no 1</w:t>
      </w:r>
    </w:p>
    <w:p w14:paraId="7A3797D8" w14:textId="77777777" w:rsidR="006F5FD0" w:rsidRPr="00371C5B" w:rsidRDefault="007727F3" w:rsidP="00371C5B">
      <w:pPr>
        <w:keepNext/>
        <w:widowControl/>
        <w:spacing w:before="240" w:after="120"/>
        <w:ind w:left="284" w:hanging="284"/>
        <w:outlineLvl w:val="0"/>
        <w:rPr>
          <w:rStyle w:val="Strong"/>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499C52F9" w:rsidR="006F5FD0" w:rsidRPr="00B33EE6" w:rsidRDefault="00AD1E4D" w:rsidP="00371C5B">
      <w:pPr>
        <w:pStyle w:val="Blockquote"/>
        <w:spacing w:before="40" w:after="60"/>
        <w:ind w:left="284" w:right="0"/>
        <w:rPr>
          <w:sz w:val="22"/>
          <w:szCs w:val="22"/>
          <w:lang w:val="en-GB"/>
        </w:rPr>
      </w:pPr>
      <w:r w:rsidRPr="00466A42">
        <w:rPr>
          <w:sz w:val="22"/>
          <w:szCs w:val="22"/>
          <w:lang w:val="en-GB"/>
        </w:rPr>
        <w:t>Simplified</w:t>
      </w:r>
      <w:r w:rsidR="00584BF4" w:rsidRPr="00B33EE6">
        <w:rPr>
          <w:sz w:val="22"/>
          <w:szCs w:val="22"/>
          <w:lang w:val="en-GB"/>
        </w:rPr>
        <w:t xml:space="preserve"> </w:t>
      </w:r>
    </w:p>
    <w:p w14:paraId="5F51B1AE" w14:textId="77777777" w:rsidR="00971962"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5C1A56BF" w14:textId="0E632E7B" w:rsidR="00971962" w:rsidRPr="00B33EE6" w:rsidRDefault="00971962" w:rsidP="00371C5B">
      <w:pPr>
        <w:pStyle w:val="Blockquote"/>
        <w:spacing w:before="40" w:after="60"/>
        <w:ind w:left="284" w:right="0"/>
        <w:rPr>
          <w:lang w:val="en-GB"/>
        </w:rPr>
      </w:pPr>
      <w:r w:rsidRPr="00B33EE6">
        <w:rPr>
          <w:lang w:val="en-GB"/>
        </w:rPr>
        <w:t xml:space="preserve"> </w:t>
      </w:r>
      <w:r w:rsidR="00466A42" w:rsidRPr="00466A42">
        <w:rPr>
          <w:rStyle w:val="Emphasis"/>
          <w:i w:val="0"/>
          <w:sz w:val="22"/>
          <w:szCs w:val="22"/>
          <w:lang w:val="en-GB"/>
        </w:rPr>
        <w:t>Interreg VI-B IPA Adriatic Ionian IPA ADRION 2021-2027</w:t>
      </w:r>
    </w:p>
    <w:p w14:paraId="797EC4DC" w14:textId="77777777"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2F0EE5D1" w14:textId="2013C8D0" w:rsidR="00466A42" w:rsidRDefault="00466A42" w:rsidP="00371C5B">
      <w:pPr>
        <w:pStyle w:val="Blockquote"/>
        <w:spacing w:before="40" w:after="60"/>
        <w:ind w:left="284" w:right="0"/>
        <w:rPr>
          <w:rStyle w:val="Emphasis"/>
          <w:i w:val="0"/>
          <w:sz w:val="22"/>
          <w:szCs w:val="22"/>
          <w:lang w:val="en-GB"/>
        </w:rPr>
      </w:pPr>
      <w:r w:rsidRPr="00466A42">
        <w:rPr>
          <w:rStyle w:val="Emphasis"/>
          <w:i w:val="0"/>
          <w:sz w:val="22"/>
          <w:szCs w:val="22"/>
          <w:lang w:val="en-GB"/>
        </w:rPr>
        <w:t>Subsidy contract IPA ADRION 53 CITYMOVE is co-financed by the European Union, in accordance with the rules of Programme Interreg VI-B IPA Adriatic Ionian IPA ADRION 2021-2027</w:t>
      </w:r>
    </w:p>
    <w:p w14:paraId="0F532635" w14:textId="1CE4F9FB" w:rsidR="00502217" w:rsidRPr="00B33EE6" w:rsidRDefault="00466A42" w:rsidP="00371C5B">
      <w:pPr>
        <w:pStyle w:val="Blockquote"/>
        <w:spacing w:before="40" w:after="60"/>
        <w:ind w:left="284" w:right="0"/>
        <w:rPr>
          <w:sz w:val="22"/>
          <w:szCs w:val="22"/>
          <w:lang w:val="en-GB"/>
        </w:rPr>
      </w:pPr>
      <w:r w:rsidRPr="00466A42">
        <w:rPr>
          <w:sz w:val="22"/>
          <w:szCs w:val="22"/>
          <w:lang w:val="en-GB"/>
        </w:rPr>
        <w:t xml:space="preserve">Improving infrastructure through installation of the equipment for urban bus stop facilities powered on sun power 2 </w:t>
      </w:r>
      <w:r w:rsidR="000C05E9" w:rsidRPr="00466A42">
        <w:rPr>
          <w:sz w:val="22"/>
          <w:szCs w:val="22"/>
          <w:lang w:val="en-GB"/>
        </w:rPr>
        <w:t>units (</w:t>
      </w:r>
      <w:r w:rsidRPr="00466A42">
        <w:rPr>
          <w:sz w:val="22"/>
          <w:szCs w:val="22"/>
          <w:lang w:val="en-GB"/>
        </w:rPr>
        <w:t xml:space="preserve">D1.1.3), Installing bicycle and electric scooter stations whit solar power chargers and 5 </w:t>
      </w:r>
      <w:r w:rsidR="000C05E9" w:rsidRPr="00466A42">
        <w:rPr>
          <w:sz w:val="22"/>
          <w:szCs w:val="22"/>
          <w:lang w:val="en-GB"/>
        </w:rPr>
        <w:t>units (</w:t>
      </w:r>
      <w:r w:rsidRPr="00466A42">
        <w:rPr>
          <w:sz w:val="22"/>
          <w:szCs w:val="22"/>
          <w:lang w:val="en-GB"/>
        </w:rPr>
        <w:t xml:space="preserve">D1.1.3) and supply bicycle seats for children 15 </w:t>
      </w:r>
      <w:r w:rsidR="000C05E9" w:rsidRPr="00466A42">
        <w:rPr>
          <w:sz w:val="22"/>
          <w:szCs w:val="22"/>
          <w:lang w:val="en-GB"/>
        </w:rPr>
        <w:t>units (</w:t>
      </w:r>
      <w:r w:rsidRPr="00466A42">
        <w:rPr>
          <w:sz w:val="22"/>
          <w:szCs w:val="22"/>
          <w:lang w:val="en-GB"/>
        </w:rPr>
        <w:t>D1.1.3)</w:t>
      </w:r>
      <w:r>
        <w:rPr>
          <w:sz w:val="22"/>
          <w:szCs w:val="22"/>
          <w:lang w:val="en-GB"/>
        </w:rPr>
        <w:t xml:space="preserve"> </w:t>
      </w:r>
      <w:r w:rsidRPr="00466A42">
        <w:rPr>
          <w:sz w:val="22"/>
          <w:szCs w:val="22"/>
          <w:lang w:val="en-GB"/>
        </w:rPr>
        <w:t>is financing from the budget line 5.1.; 5.2 and 5.3. of the project.</w:t>
      </w:r>
    </w:p>
    <w:p w14:paraId="03ED8384" w14:textId="77777777"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2259BEAD" w14:textId="780DDC7C" w:rsidR="006F5FD0" w:rsidRDefault="00F601D2" w:rsidP="00371C5B">
      <w:pPr>
        <w:ind w:left="357"/>
        <w:jc w:val="both"/>
        <w:rPr>
          <w:rStyle w:val="Emphasis"/>
          <w:i w:val="0"/>
          <w:sz w:val="22"/>
          <w:szCs w:val="22"/>
          <w:lang w:val="en-GB"/>
        </w:rPr>
      </w:pPr>
      <w:bookmarkStart w:id="0" w:name="_Hlk169255215"/>
      <w:r>
        <w:rPr>
          <w:rStyle w:val="Emphasis"/>
          <w:i w:val="0"/>
          <w:sz w:val="22"/>
          <w:szCs w:val="22"/>
          <w:lang w:val="en-GB"/>
        </w:rPr>
        <w:t>Municipality of Sveti Nikole</w:t>
      </w:r>
    </w:p>
    <w:bookmarkEnd w:id="0"/>
    <w:p w14:paraId="67F4A905" w14:textId="77777777" w:rsidR="006F5FD0" w:rsidRPr="00B33EE6" w:rsidRDefault="00000000" w:rsidP="00347E84">
      <w:pPr>
        <w:rPr>
          <w:sz w:val="22"/>
          <w:szCs w:val="22"/>
          <w:lang w:val="en-GB"/>
        </w:rPr>
      </w:pPr>
      <w:r>
        <w:rPr>
          <w:snapToGrid/>
          <w:sz w:val="22"/>
          <w:szCs w:val="22"/>
          <w:lang w:val="en-GB"/>
        </w:rPr>
        <w:pict w14:anchorId="589D319E">
          <v:line id="_x0000_s2051" style="position:absolute;z-index:1" from="0,12pt" to="468pt,12.05pt" o:allowincell="f" strokecolor="#d4d4d4" strokeweight="1.75pt">
            <v:shadow on="t" origin=",32385f" offset="0,-1pt"/>
          </v:line>
        </w:pict>
      </w:r>
    </w:p>
    <w:p w14:paraId="30050B2B" w14:textId="77777777" w:rsidR="006F5FD0" w:rsidRPr="00B33EE6" w:rsidRDefault="006F5FD0" w:rsidP="00347E84">
      <w:pPr>
        <w:jc w:val="center"/>
        <w:rPr>
          <w:sz w:val="28"/>
          <w:szCs w:val="28"/>
          <w:lang w:val="en-GB"/>
        </w:rPr>
      </w:pPr>
      <w:r w:rsidRPr="00B33EE6">
        <w:rPr>
          <w:rStyle w:val="Strong"/>
          <w:sz w:val="28"/>
          <w:szCs w:val="28"/>
          <w:lang w:val="en-GB"/>
        </w:rPr>
        <w:t>CONTRACT SPECIFICATION</w:t>
      </w:r>
    </w:p>
    <w:p w14:paraId="4C8A4F1B" w14:textId="77777777"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33BEBC64" w:rsidR="006F5FD0" w:rsidRPr="00B33EE6" w:rsidRDefault="00172785" w:rsidP="00371C5B">
      <w:pPr>
        <w:pStyle w:val="Blockquote"/>
        <w:spacing w:before="40" w:after="60"/>
        <w:ind w:left="284" w:right="0"/>
        <w:rPr>
          <w:i/>
          <w:sz w:val="22"/>
          <w:szCs w:val="22"/>
          <w:lang w:val="en-GB"/>
        </w:rPr>
      </w:pPr>
      <w:r w:rsidRPr="00F601D2">
        <w:rPr>
          <w:rStyle w:val="Emphasis"/>
          <w:i w:val="0"/>
          <w:sz w:val="22"/>
          <w:szCs w:val="22"/>
          <w:lang w:val="en-GB"/>
        </w:rPr>
        <w:t>L</w:t>
      </w:r>
      <w:r w:rsidR="008A1184" w:rsidRPr="00F601D2">
        <w:rPr>
          <w:rStyle w:val="Emphasis"/>
          <w:i w:val="0"/>
          <w:sz w:val="22"/>
          <w:szCs w:val="22"/>
          <w:lang w:val="en-GB"/>
        </w:rPr>
        <w:t>ump sum</w:t>
      </w:r>
    </w:p>
    <w:p w14:paraId="1879C6BF" w14:textId="77777777"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3858A828" w14:textId="77777777" w:rsidR="0020739B" w:rsidRDefault="00741529" w:rsidP="00371C5B">
      <w:pPr>
        <w:pStyle w:val="Blockquote"/>
        <w:spacing w:before="40" w:after="60"/>
        <w:ind w:left="284" w:right="0"/>
        <w:rPr>
          <w:rStyle w:val="Emphasis"/>
          <w:i w:val="0"/>
          <w:sz w:val="22"/>
          <w:szCs w:val="22"/>
          <w:lang w:val="mk-MK"/>
        </w:rPr>
      </w:pPr>
      <w:r>
        <w:rPr>
          <w:rStyle w:val="Emphasis"/>
          <w:i w:val="0"/>
          <w:sz w:val="22"/>
          <w:szCs w:val="22"/>
          <w:lang w:val="en-GB"/>
        </w:rPr>
        <w:t>T</w:t>
      </w:r>
      <w:r w:rsidRPr="00741529">
        <w:rPr>
          <w:rStyle w:val="Emphasis"/>
          <w:i w:val="0"/>
          <w:sz w:val="22"/>
          <w:szCs w:val="22"/>
          <w:lang w:val="en-GB"/>
        </w:rPr>
        <w:t xml:space="preserve">he supply, delivery, unloading, siting and installation, commissioning, and technical check and other tasks specifically required by the contract: of the following supplies: </w:t>
      </w:r>
    </w:p>
    <w:p w14:paraId="441DD6E0" w14:textId="6ADD8627" w:rsidR="0020739B" w:rsidRDefault="0020739B" w:rsidP="0020739B">
      <w:pPr>
        <w:pStyle w:val="Blockquote"/>
        <w:numPr>
          <w:ilvl w:val="0"/>
          <w:numId w:val="46"/>
        </w:numPr>
        <w:spacing w:before="40" w:after="60"/>
        <w:ind w:right="0"/>
        <w:rPr>
          <w:rStyle w:val="Emphasis"/>
          <w:b/>
          <w:bCs/>
          <w:i w:val="0"/>
          <w:sz w:val="22"/>
          <w:szCs w:val="22"/>
        </w:rPr>
      </w:pPr>
      <w:r w:rsidRPr="0020739B">
        <w:rPr>
          <w:rStyle w:val="Emphasis"/>
          <w:b/>
          <w:bCs/>
          <w:i w:val="0"/>
          <w:sz w:val="22"/>
          <w:szCs w:val="22"/>
          <w:lang w:val="mk-MK"/>
        </w:rPr>
        <w:lastRenderedPageBreak/>
        <w:t>Field preparation and istalation of concrete base for Instaalation urban bus stop facilities powered on sun power</w:t>
      </w:r>
      <w:r>
        <w:rPr>
          <w:rStyle w:val="Emphasis"/>
          <w:b/>
          <w:bCs/>
          <w:i w:val="0"/>
          <w:sz w:val="22"/>
          <w:szCs w:val="22"/>
          <w:lang w:val="mk-MK"/>
        </w:rPr>
        <w:t xml:space="preserve"> </w:t>
      </w:r>
      <w:r>
        <w:rPr>
          <w:rStyle w:val="Emphasis"/>
          <w:b/>
          <w:bCs/>
          <w:i w:val="0"/>
          <w:sz w:val="22"/>
          <w:szCs w:val="22"/>
        </w:rPr>
        <w:t>2, units</w:t>
      </w:r>
    </w:p>
    <w:p w14:paraId="398116F2" w14:textId="2038350F" w:rsidR="0020739B" w:rsidRDefault="0020739B" w:rsidP="0020739B">
      <w:pPr>
        <w:pStyle w:val="Blockquote"/>
        <w:numPr>
          <w:ilvl w:val="0"/>
          <w:numId w:val="46"/>
        </w:numPr>
        <w:spacing w:before="40" w:after="60"/>
        <w:ind w:right="0"/>
        <w:rPr>
          <w:rStyle w:val="Emphasis"/>
          <w:b/>
          <w:bCs/>
          <w:i w:val="0"/>
          <w:sz w:val="22"/>
          <w:szCs w:val="22"/>
        </w:rPr>
      </w:pPr>
      <w:r w:rsidRPr="0020739B">
        <w:rPr>
          <w:rStyle w:val="Emphasis"/>
          <w:b/>
          <w:bCs/>
          <w:i w:val="0"/>
          <w:sz w:val="22"/>
          <w:szCs w:val="22"/>
        </w:rPr>
        <w:t>Metal construction and urban equipment for bus stop facilities powered on sun power</w:t>
      </w:r>
      <w:r>
        <w:rPr>
          <w:rStyle w:val="Emphasis"/>
          <w:b/>
          <w:bCs/>
          <w:i w:val="0"/>
          <w:sz w:val="22"/>
          <w:szCs w:val="22"/>
        </w:rPr>
        <w:t>, 2 units</w:t>
      </w:r>
    </w:p>
    <w:p w14:paraId="00482031" w14:textId="010A2153" w:rsidR="0020739B" w:rsidRDefault="0020739B" w:rsidP="0020739B">
      <w:pPr>
        <w:pStyle w:val="Blockquote"/>
        <w:numPr>
          <w:ilvl w:val="0"/>
          <w:numId w:val="46"/>
        </w:numPr>
        <w:spacing w:before="40" w:after="60"/>
        <w:ind w:right="0"/>
        <w:rPr>
          <w:rStyle w:val="Emphasis"/>
          <w:b/>
          <w:bCs/>
          <w:i w:val="0"/>
          <w:sz w:val="22"/>
          <w:szCs w:val="22"/>
        </w:rPr>
      </w:pPr>
      <w:r w:rsidRPr="0020739B">
        <w:rPr>
          <w:rStyle w:val="Emphasis"/>
          <w:b/>
          <w:bCs/>
          <w:i w:val="0"/>
          <w:sz w:val="22"/>
          <w:szCs w:val="22"/>
        </w:rPr>
        <w:t xml:space="preserve">Unloading, siting and installation </w:t>
      </w:r>
      <w:r w:rsidR="000C05E9" w:rsidRPr="0020739B">
        <w:rPr>
          <w:rStyle w:val="Emphasis"/>
          <w:b/>
          <w:bCs/>
          <w:i w:val="0"/>
          <w:sz w:val="22"/>
          <w:szCs w:val="22"/>
        </w:rPr>
        <w:t>solar</w:t>
      </w:r>
      <w:r w:rsidRPr="0020739B">
        <w:rPr>
          <w:rStyle w:val="Emphasis"/>
          <w:b/>
          <w:bCs/>
          <w:i w:val="0"/>
          <w:sz w:val="22"/>
          <w:szCs w:val="22"/>
        </w:rPr>
        <w:t xml:space="preserve"> panels   and electrical equipment for bus stop facilities powered on sun power</w:t>
      </w:r>
      <w:r>
        <w:rPr>
          <w:rStyle w:val="Emphasis"/>
          <w:b/>
          <w:bCs/>
          <w:i w:val="0"/>
          <w:sz w:val="22"/>
          <w:szCs w:val="22"/>
        </w:rPr>
        <w:t>, 2 units</w:t>
      </w:r>
    </w:p>
    <w:p w14:paraId="6EFC21AF" w14:textId="1B02B88F" w:rsidR="0020739B" w:rsidRDefault="0020739B" w:rsidP="0020739B">
      <w:pPr>
        <w:pStyle w:val="Blockquote"/>
        <w:numPr>
          <w:ilvl w:val="0"/>
          <w:numId w:val="46"/>
        </w:numPr>
        <w:spacing w:before="40" w:after="60"/>
        <w:ind w:right="0"/>
        <w:rPr>
          <w:rStyle w:val="Emphasis"/>
          <w:b/>
          <w:bCs/>
          <w:i w:val="0"/>
          <w:sz w:val="22"/>
          <w:szCs w:val="22"/>
        </w:rPr>
      </w:pPr>
      <w:r w:rsidRPr="0020739B">
        <w:rPr>
          <w:rStyle w:val="Emphasis"/>
          <w:b/>
          <w:bCs/>
          <w:i w:val="0"/>
          <w:sz w:val="22"/>
          <w:szCs w:val="22"/>
        </w:rPr>
        <w:t xml:space="preserve">Field preparation and </w:t>
      </w:r>
      <w:r w:rsidR="000C05E9" w:rsidRPr="0020739B">
        <w:rPr>
          <w:rStyle w:val="Emphasis"/>
          <w:b/>
          <w:bCs/>
          <w:i w:val="0"/>
          <w:sz w:val="22"/>
          <w:szCs w:val="22"/>
        </w:rPr>
        <w:t>installation</w:t>
      </w:r>
      <w:r w:rsidRPr="0020739B">
        <w:rPr>
          <w:rStyle w:val="Emphasis"/>
          <w:b/>
          <w:bCs/>
          <w:i w:val="0"/>
          <w:sz w:val="22"/>
          <w:szCs w:val="22"/>
        </w:rPr>
        <w:t xml:space="preserve"> of concrete base for </w:t>
      </w:r>
      <w:r w:rsidR="000C05E9" w:rsidRPr="0020739B">
        <w:rPr>
          <w:rStyle w:val="Emphasis"/>
          <w:b/>
          <w:bCs/>
          <w:i w:val="0"/>
          <w:sz w:val="22"/>
          <w:szCs w:val="22"/>
        </w:rPr>
        <w:t>Installation</w:t>
      </w:r>
      <w:r w:rsidRPr="0020739B">
        <w:rPr>
          <w:rStyle w:val="Emphasis"/>
          <w:b/>
          <w:bCs/>
          <w:i w:val="0"/>
          <w:sz w:val="22"/>
          <w:szCs w:val="22"/>
        </w:rPr>
        <w:t xml:space="preserve"> bicycle and electric scooter stations whit solar power chargers</w:t>
      </w:r>
      <w:r>
        <w:rPr>
          <w:rStyle w:val="Emphasis"/>
          <w:b/>
          <w:bCs/>
          <w:i w:val="0"/>
          <w:sz w:val="22"/>
          <w:szCs w:val="22"/>
        </w:rPr>
        <w:t>, 5 units</w:t>
      </w:r>
    </w:p>
    <w:p w14:paraId="3D63DF9B" w14:textId="612B1EBB" w:rsidR="0020739B" w:rsidRDefault="0020739B" w:rsidP="0020739B">
      <w:pPr>
        <w:pStyle w:val="Blockquote"/>
        <w:numPr>
          <w:ilvl w:val="0"/>
          <w:numId w:val="46"/>
        </w:numPr>
        <w:spacing w:before="40" w:after="60"/>
        <w:ind w:right="0"/>
        <w:rPr>
          <w:rStyle w:val="Emphasis"/>
          <w:b/>
          <w:bCs/>
          <w:i w:val="0"/>
          <w:sz w:val="22"/>
          <w:szCs w:val="22"/>
        </w:rPr>
      </w:pPr>
      <w:r w:rsidRPr="0020739B">
        <w:rPr>
          <w:rStyle w:val="Emphasis"/>
          <w:b/>
          <w:bCs/>
          <w:i w:val="0"/>
          <w:sz w:val="22"/>
          <w:szCs w:val="22"/>
        </w:rPr>
        <w:t>Metal construction and urban equipment for bicycle and electric scooter stations whit solar power chargers</w:t>
      </w:r>
      <w:r>
        <w:rPr>
          <w:rStyle w:val="Emphasis"/>
          <w:b/>
          <w:bCs/>
          <w:i w:val="0"/>
          <w:sz w:val="22"/>
          <w:szCs w:val="22"/>
        </w:rPr>
        <w:t>, 5 units</w:t>
      </w:r>
    </w:p>
    <w:p w14:paraId="0FBE84D5" w14:textId="383CB780" w:rsidR="0020739B" w:rsidRDefault="0020739B" w:rsidP="0020739B">
      <w:pPr>
        <w:pStyle w:val="Blockquote"/>
        <w:numPr>
          <w:ilvl w:val="0"/>
          <w:numId w:val="46"/>
        </w:numPr>
        <w:spacing w:before="40" w:after="60"/>
        <w:ind w:right="0"/>
        <w:rPr>
          <w:rStyle w:val="Emphasis"/>
          <w:b/>
          <w:bCs/>
          <w:i w:val="0"/>
          <w:sz w:val="22"/>
          <w:szCs w:val="22"/>
        </w:rPr>
      </w:pPr>
      <w:r w:rsidRPr="0020739B">
        <w:rPr>
          <w:rStyle w:val="Emphasis"/>
          <w:b/>
          <w:bCs/>
          <w:i w:val="0"/>
          <w:sz w:val="22"/>
          <w:szCs w:val="22"/>
        </w:rPr>
        <w:t>Unloading, siting and installation solar panels   and electrical equipment for bicycle and electric scooter stations whit solar power chargers</w:t>
      </w:r>
      <w:r>
        <w:rPr>
          <w:rStyle w:val="Emphasis"/>
          <w:b/>
          <w:bCs/>
          <w:i w:val="0"/>
          <w:sz w:val="22"/>
          <w:szCs w:val="22"/>
        </w:rPr>
        <w:t>, 5 units</w:t>
      </w:r>
    </w:p>
    <w:p w14:paraId="3A8E13F6" w14:textId="6F6F1F97" w:rsidR="0020739B" w:rsidRDefault="0020739B" w:rsidP="0020739B">
      <w:pPr>
        <w:pStyle w:val="Blockquote"/>
        <w:numPr>
          <w:ilvl w:val="0"/>
          <w:numId w:val="46"/>
        </w:numPr>
        <w:spacing w:before="40" w:after="60"/>
        <w:ind w:right="0"/>
        <w:rPr>
          <w:rStyle w:val="Emphasis"/>
          <w:b/>
          <w:bCs/>
          <w:i w:val="0"/>
          <w:sz w:val="22"/>
          <w:szCs w:val="22"/>
        </w:rPr>
      </w:pPr>
      <w:r w:rsidRPr="0020739B">
        <w:rPr>
          <w:rStyle w:val="Emphasis"/>
          <w:b/>
          <w:bCs/>
          <w:i w:val="0"/>
          <w:sz w:val="22"/>
          <w:szCs w:val="22"/>
        </w:rPr>
        <w:t xml:space="preserve">Supply Bicycle seats for </w:t>
      </w:r>
      <w:r w:rsidR="000C05E9" w:rsidRPr="0020739B">
        <w:rPr>
          <w:rStyle w:val="Emphasis"/>
          <w:b/>
          <w:bCs/>
          <w:i w:val="0"/>
          <w:sz w:val="22"/>
          <w:szCs w:val="22"/>
        </w:rPr>
        <w:t>children</w:t>
      </w:r>
      <w:r w:rsidR="000C05E9">
        <w:rPr>
          <w:rStyle w:val="Emphasis"/>
          <w:b/>
          <w:bCs/>
          <w:i w:val="0"/>
          <w:sz w:val="22"/>
          <w:szCs w:val="22"/>
        </w:rPr>
        <w:t>, 15</w:t>
      </w:r>
      <w:r>
        <w:rPr>
          <w:rStyle w:val="Emphasis"/>
          <w:b/>
          <w:bCs/>
          <w:i w:val="0"/>
          <w:sz w:val="22"/>
          <w:szCs w:val="22"/>
        </w:rPr>
        <w:t xml:space="preserve"> units</w:t>
      </w:r>
    </w:p>
    <w:p w14:paraId="7E65521B" w14:textId="5549BE23" w:rsidR="0020739B" w:rsidRDefault="0020739B" w:rsidP="0020739B">
      <w:pPr>
        <w:pStyle w:val="Blockquote"/>
        <w:numPr>
          <w:ilvl w:val="0"/>
          <w:numId w:val="46"/>
        </w:numPr>
        <w:spacing w:before="40" w:after="60"/>
        <w:ind w:right="0"/>
        <w:rPr>
          <w:rStyle w:val="Emphasis"/>
          <w:b/>
          <w:bCs/>
          <w:i w:val="0"/>
          <w:sz w:val="22"/>
          <w:szCs w:val="22"/>
        </w:rPr>
      </w:pPr>
      <w:r w:rsidRPr="0020739B">
        <w:rPr>
          <w:rStyle w:val="Emphasis"/>
          <w:b/>
          <w:bCs/>
          <w:i w:val="0"/>
          <w:sz w:val="22"/>
          <w:szCs w:val="22"/>
        </w:rPr>
        <w:t xml:space="preserve">System parameter commissioning, and technical </w:t>
      </w:r>
      <w:r w:rsidR="000C05E9" w:rsidRPr="0020739B">
        <w:rPr>
          <w:rStyle w:val="Emphasis"/>
          <w:b/>
          <w:bCs/>
          <w:i w:val="0"/>
          <w:sz w:val="22"/>
          <w:szCs w:val="22"/>
        </w:rPr>
        <w:t>check</w:t>
      </w:r>
      <w:r w:rsidRPr="0020739B">
        <w:rPr>
          <w:rStyle w:val="Emphasis"/>
          <w:b/>
          <w:bCs/>
          <w:i w:val="0"/>
          <w:sz w:val="22"/>
          <w:szCs w:val="22"/>
        </w:rPr>
        <w:t xml:space="preserve"> </w:t>
      </w:r>
      <w:r>
        <w:rPr>
          <w:rStyle w:val="Emphasis"/>
          <w:b/>
          <w:bCs/>
          <w:i w:val="0"/>
          <w:sz w:val="22"/>
          <w:szCs w:val="22"/>
        </w:rPr>
        <w:t>,</w:t>
      </w:r>
      <w:r w:rsidRPr="0020739B">
        <w:rPr>
          <w:rStyle w:val="Emphasis"/>
          <w:b/>
          <w:bCs/>
          <w:i w:val="0"/>
          <w:sz w:val="22"/>
          <w:szCs w:val="22"/>
        </w:rPr>
        <w:t>7 units</w:t>
      </w:r>
    </w:p>
    <w:p w14:paraId="2D1FC658" w14:textId="1FF81382" w:rsidR="0020739B" w:rsidRDefault="0020739B" w:rsidP="0020739B">
      <w:pPr>
        <w:pStyle w:val="Blockquote"/>
        <w:numPr>
          <w:ilvl w:val="0"/>
          <w:numId w:val="46"/>
        </w:numPr>
        <w:spacing w:before="40" w:after="60"/>
        <w:ind w:right="0"/>
        <w:rPr>
          <w:rStyle w:val="Emphasis"/>
          <w:b/>
          <w:bCs/>
          <w:i w:val="0"/>
          <w:sz w:val="22"/>
          <w:szCs w:val="22"/>
        </w:rPr>
      </w:pPr>
      <w:r w:rsidRPr="0020739B">
        <w:rPr>
          <w:rStyle w:val="Emphasis"/>
          <w:b/>
          <w:bCs/>
          <w:i w:val="0"/>
          <w:sz w:val="22"/>
          <w:szCs w:val="22"/>
        </w:rPr>
        <w:t>A permanent visibility board (42cm x 60 cm - in accordance to Special conditions Article 9)</w:t>
      </w:r>
      <w:r>
        <w:rPr>
          <w:rStyle w:val="Emphasis"/>
          <w:b/>
          <w:bCs/>
          <w:i w:val="0"/>
          <w:sz w:val="22"/>
          <w:szCs w:val="22"/>
        </w:rPr>
        <w:t>,</w:t>
      </w:r>
      <w:r w:rsidRPr="0020739B">
        <w:rPr>
          <w:rStyle w:val="Emphasis"/>
          <w:b/>
          <w:bCs/>
          <w:i w:val="0"/>
          <w:sz w:val="22"/>
          <w:szCs w:val="22"/>
        </w:rPr>
        <w:t xml:space="preserve"> 7 units</w:t>
      </w:r>
    </w:p>
    <w:p w14:paraId="22710C9E" w14:textId="03D11298" w:rsidR="00B336EF" w:rsidRDefault="0020739B" w:rsidP="00B336EF">
      <w:pPr>
        <w:pStyle w:val="Blockquote"/>
        <w:spacing w:before="40" w:after="60"/>
        <w:ind w:left="284" w:right="0"/>
        <w:jc w:val="both"/>
        <w:rPr>
          <w:rStyle w:val="Emphasis"/>
          <w:i w:val="0"/>
          <w:sz w:val="22"/>
          <w:szCs w:val="22"/>
          <w:lang w:val="en-GB"/>
        </w:rPr>
      </w:pPr>
      <w:r>
        <w:rPr>
          <w:rStyle w:val="Emphasis"/>
          <w:i w:val="0"/>
          <w:sz w:val="22"/>
          <w:szCs w:val="22"/>
          <w:lang w:val="en-GB"/>
        </w:rPr>
        <w:t xml:space="preserve">This contract </w:t>
      </w:r>
      <w:r w:rsidRPr="00B336EF">
        <w:rPr>
          <w:rStyle w:val="Emphasis"/>
          <w:iCs/>
          <w:sz w:val="22"/>
          <w:szCs w:val="22"/>
          <w:lang w:val="en-GB"/>
        </w:rPr>
        <w:t xml:space="preserve">is </w:t>
      </w:r>
      <w:r w:rsidR="00B336EF" w:rsidRPr="00B336EF">
        <w:rPr>
          <w:iCs/>
          <w:sz w:val="22"/>
          <w:szCs w:val="22"/>
          <w:lang w:val="en-GB"/>
        </w:rPr>
        <w:t>concerns the procurement of supplies for the location Municipality</w:t>
      </w:r>
      <w:r w:rsidR="00B336EF">
        <w:rPr>
          <w:i/>
          <w:sz w:val="22"/>
          <w:szCs w:val="22"/>
          <w:lang w:val="en-GB"/>
        </w:rPr>
        <w:t xml:space="preserve"> </w:t>
      </w:r>
      <w:r w:rsidR="00B336EF" w:rsidRPr="00741529">
        <w:rPr>
          <w:rStyle w:val="Emphasis"/>
          <w:i w:val="0"/>
          <w:sz w:val="22"/>
          <w:szCs w:val="22"/>
          <w:lang w:val="en-GB"/>
        </w:rPr>
        <w:t xml:space="preserve">at Municipality of Sveti Nikole urban bus stop facilities powered on sun power (street Filip 2 KP11699/1 and New city park KP 10925/1), bicycle and electric scooter stations whit solar power charger street Filip 2 KP 8565/2, near Sport Hall Car Samoil KP 9999/2, City Park Aleksandar Serafimov KP 10015/1, New city park KP 10925/1 and Bel Kamen settlement, Sveti Nikole KP 11211/1; bicycle seats for children at Municipality of Sveti Nikole. </w:t>
      </w:r>
    </w:p>
    <w:p w14:paraId="2646A289" w14:textId="66DD5E65" w:rsidR="00B336EF" w:rsidRPr="00B336EF" w:rsidRDefault="00B336EF" w:rsidP="00B336EF">
      <w:pPr>
        <w:pStyle w:val="Blockquote"/>
        <w:ind w:left="284" w:right="0"/>
        <w:jc w:val="both"/>
        <w:rPr>
          <w:iCs/>
          <w:sz w:val="22"/>
          <w:szCs w:val="22"/>
          <w:lang w:val="en-GB"/>
        </w:rPr>
      </w:pPr>
      <w:r w:rsidRPr="00B336EF">
        <w:rPr>
          <w:iCs/>
          <w:sz w:val="22"/>
          <w:szCs w:val="22"/>
          <w:lang w:val="en-GB"/>
        </w:rPr>
        <w:t>All actions concern the procurement of equipment that will be installed in public areas. The permits for the installation of equipment on public areas are issued by the local authorities, which are responsible for the project will be responsible for the maintenance and durability of the installed equipment. The location for installing equipment is in the area supervised under city administration, thus no additional technical licenses are needed for approval or authorization of national/regional authorities.</w:t>
      </w:r>
    </w:p>
    <w:p w14:paraId="75E79BC7" w14:textId="77777777"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2322095B" w14:textId="060B253B" w:rsidR="00820CDB" w:rsidRPr="00F236C9" w:rsidRDefault="00820CDB" w:rsidP="00371C5B">
      <w:pPr>
        <w:pStyle w:val="Blockquote"/>
        <w:spacing w:before="40" w:after="60"/>
        <w:ind w:left="284" w:right="0"/>
        <w:rPr>
          <w:rStyle w:val="Strong"/>
          <w:b w:val="0"/>
          <w:sz w:val="22"/>
          <w:szCs w:val="22"/>
          <w:lang w:val="en-GB"/>
        </w:rPr>
      </w:pPr>
      <w:r w:rsidRPr="00F236C9">
        <w:rPr>
          <w:rStyle w:val="Strong"/>
          <w:b w:val="0"/>
          <w:sz w:val="22"/>
          <w:szCs w:val="22"/>
          <w:lang w:val="en-GB"/>
        </w:rPr>
        <w:t>This contract is divided into lots:</w:t>
      </w:r>
      <w:r w:rsidRPr="00F236C9">
        <w:rPr>
          <w:rStyle w:val="Strong"/>
          <w:sz w:val="22"/>
          <w:szCs w:val="22"/>
          <w:lang w:val="en-GB"/>
        </w:rPr>
        <w:t xml:space="preserve"> </w:t>
      </w:r>
      <w:r w:rsidRPr="00F601D2">
        <w:rPr>
          <w:rStyle w:val="Strong"/>
          <w:b w:val="0"/>
          <w:sz w:val="22"/>
          <w:szCs w:val="22"/>
          <w:lang w:val="en-GB"/>
        </w:rPr>
        <w:t>no</w:t>
      </w:r>
    </w:p>
    <w:p w14:paraId="6C843D95" w14:textId="77777777" w:rsidR="006F5FD0" w:rsidRPr="00B33EE6" w:rsidRDefault="00000000" w:rsidP="00371C5B">
      <w:pPr>
        <w:outlineLvl w:val="0"/>
        <w:rPr>
          <w:sz w:val="22"/>
          <w:szCs w:val="22"/>
          <w:lang w:val="en-GB"/>
        </w:rPr>
      </w:pPr>
      <w:r>
        <w:rPr>
          <w:snapToGrid/>
          <w:sz w:val="22"/>
          <w:szCs w:val="22"/>
          <w:lang w:val="en-GB"/>
        </w:rPr>
        <w:pict w14:anchorId="21854D6C">
          <v:line id="_x0000_s2052" style="position:absolute;z-index:2" from="-1.05pt,17.55pt" to="466.95pt,17.6pt" o:allowincell="f" strokecolor="#d4d4d4" strokeweight="1.75pt">
            <v:shadow on="t" origin=",32385f" offset="0,-1pt"/>
          </v:line>
        </w:pict>
      </w:r>
    </w:p>
    <w:p w14:paraId="283B6821" w14:textId="77777777" w:rsidR="006F5FD0" w:rsidRPr="00B33EE6" w:rsidRDefault="006F5FD0" w:rsidP="00347E84">
      <w:pPr>
        <w:jc w:val="center"/>
        <w:rPr>
          <w:sz w:val="28"/>
          <w:szCs w:val="28"/>
          <w:lang w:val="en-GB"/>
        </w:rPr>
      </w:pPr>
      <w:r w:rsidRPr="00B33EE6">
        <w:rPr>
          <w:rStyle w:val="Strong"/>
          <w:sz w:val="28"/>
          <w:szCs w:val="28"/>
          <w:lang w:val="en-GB"/>
        </w:rPr>
        <w:t>CONDITIONS OF PARTICIPATION</w:t>
      </w:r>
    </w:p>
    <w:p w14:paraId="2CB5FCF7" w14:textId="47E123D2" w:rsidR="00B9793F" w:rsidRDefault="002845CD" w:rsidP="00371C5B">
      <w:pPr>
        <w:keepNext/>
        <w:widowControl/>
        <w:spacing w:before="240" w:after="120"/>
        <w:ind w:left="284" w:hanging="284"/>
        <w:outlineLvl w:val="0"/>
        <w:rPr>
          <w:rStyle w:val="Strong"/>
          <w:sz w:val="22"/>
          <w:szCs w:val="22"/>
          <w:lang w:val="en-GB"/>
        </w:rPr>
      </w:pPr>
      <w:r>
        <w:rPr>
          <w:rStyle w:val="Strong"/>
          <w:sz w:val="22"/>
          <w:szCs w:val="22"/>
          <w:lang w:val="en-GB"/>
        </w:rPr>
        <w:t>9</w:t>
      </w:r>
      <w:r w:rsidR="00B9793F">
        <w:rPr>
          <w:rStyle w:val="Strong"/>
          <w:sz w:val="22"/>
          <w:szCs w:val="22"/>
          <w:lang w:val="en-GB"/>
        </w:rPr>
        <w:t>.</w:t>
      </w:r>
      <w:r w:rsidR="00FD5083">
        <w:rPr>
          <w:rStyle w:val="Strong"/>
          <w:sz w:val="22"/>
          <w:szCs w:val="22"/>
          <w:lang w:val="en-GB"/>
        </w:rPr>
        <w:tab/>
      </w:r>
      <w:r w:rsidR="00B9793F" w:rsidRPr="00D97139">
        <w:rPr>
          <w:rStyle w:val="Strong"/>
          <w:sz w:val="22"/>
          <w:szCs w:val="22"/>
          <w:lang w:val="en-GB"/>
        </w:rPr>
        <w:t>Legal basis, eligibility and rules of origin</w:t>
      </w:r>
    </w:p>
    <w:p w14:paraId="381F6A2D" w14:textId="0FDB4C7D" w:rsidR="00326B16" w:rsidRPr="00D97139" w:rsidRDefault="00820CDB" w:rsidP="00371C5B">
      <w:pPr>
        <w:pStyle w:val="FootnoteText"/>
        <w:ind w:firstLine="426"/>
        <w:jc w:val="center"/>
        <w:rPr>
          <w:rStyle w:val="Strong"/>
          <w:sz w:val="22"/>
          <w:szCs w:val="22"/>
          <w:lang w:val="en-GB"/>
        </w:rPr>
      </w:pPr>
      <w:r>
        <w:rPr>
          <w:rStyle w:val="Strong"/>
          <w:sz w:val="22"/>
          <w:szCs w:val="22"/>
          <w:lang w:val="en-GB"/>
        </w:rPr>
        <w:t>*****</w:t>
      </w:r>
    </w:p>
    <w:p w14:paraId="6234212B" w14:textId="5BBC9F10" w:rsidR="00B9793F" w:rsidRPr="00F601D2" w:rsidRDefault="00B9793F" w:rsidP="00371C5B">
      <w:pPr>
        <w:spacing w:after="0"/>
        <w:ind w:left="284"/>
        <w:jc w:val="both"/>
        <w:rPr>
          <w:iCs/>
          <w:sz w:val="22"/>
          <w:szCs w:val="22"/>
          <w:lang w:val="en-IE"/>
        </w:rPr>
      </w:pPr>
      <w:r w:rsidRPr="00F601D2">
        <w:rPr>
          <w:iCs/>
          <w:sz w:val="22"/>
          <w:szCs w:val="22"/>
          <w:lang w:val="en-IE"/>
        </w:rPr>
        <w:lastRenderedPageBreak/>
        <w:t>[For IPA III 2021/</w:t>
      </w:r>
      <w:r w:rsidR="009E5C83" w:rsidRPr="00F601D2">
        <w:rPr>
          <w:iCs/>
          <w:sz w:val="22"/>
          <w:szCs w:val="22"/>
          <w:lang w:val="en-IE"/>
        </w:rPr>
        <w:t>1529</w:t>
      </w:r>
      <w:r w:rsidR="000B14E4" w:rsidRPr="00F601D2">
        <w:rPr>
          <w:rStyle w:val="FootnoteReference"/>
          <w:iCs/>
          <w:sz w:val="22"/>
          <w:szCs w:val="22"/>
          <w:lang w:val="en-IE"/>
        </w:rPr>
        <w:footnoteReference w:id="1"/>
      </w:r>
      <w:r w:rsidRPr="00F601D2">
        <w:rPr>
          <w:iCs/>
          <w:sz w:val="22"/>
          <w:szCs w:val="22"/>
          <w:lang w:val="en-IE"/>
        </w:rPr>
        <w:t>:</w:t>
      </w:r>
    </w:p>
    <w:p w14:paraId="04E947DD" w14:textId="6C12D0F3" w:rsidR="00B9793F" w:rsidRPr="00F601D2" w:rsidRDefault="00B9793F" w:rsidP="00371C5B">
      <w:pPr>
        <w:pStyle w:val="paragraph"/>
        <w:spacing w:before="0" w:beforeAutospacing="0" w:after="0" w:afterAutospacing="0"/>
        <w:ind w:left="284"/>
        <w:jc w:val="both"/>
        <w:textAlignment w:val="baseline"/>
        <w:rPr>
          <w:rFonts w:ascii="Segoe UI" w:hAnsi="Segoe UI" w:cs="Segoe UI"/>
          <w:sz w:val="22"/>
          <w:szCs w:val="22"/>
          <w:lang w:val="en-GB"/>
        </w:rPr>
      </w:pPr>
      <w:r w:rsidRPr="00F601D2">
        <w:rPr>
          <w:iCs/>
          <w:sz w:val="22"/>
          <w:szCs w:val="22"/>
          <w:lang w:val="en-IE"/>
        </w:rPr>
        <w:t>The legal basis of this procedure is Regulation (EU) No </w:t>
      </w:r>
      <w:r w:rsidR="00A609E7" w:rsidRPr="00F601D2">
        <w:rPr>
          <w:iCs/>
          <w:sz w:val="22"/>
          <w:szCs w:val="22"/>
          <w:lang w:val="en-IE"/>
        </w:rPr>
        <w:t>2021/</w:t>
      </w:r>
      <w:r w:rsidR="009E5C83" w:rsidRPr="00F601D2">
        <w:rPr>
          <w:iCs/>
          <w:sz w:val="22"/>
          <w:szCs w:val="22"/>
          <w:lang w:val="en-IE"/>
        </w:rPr>
        <w:t>1529</w:t>
      </w:r>
      <w:r w:rsidRPr="00F601D2">
        <w:rPr>
          <w:iCs/>
          <w:sz w:val="22"/>
          <w:szCs w:val="22"/>
          <w:lang w:val="en-IE"/>
        </w:rPr>
        <w:t xml:space="preserve"> establishing the Instrument for Pre-accession Assistance (IPA III). </w:t>
      </w:r>
      <w:r w:rsidRPr="00F601D2">
        <w:rPr>
          <w:iCs/>
          <w:lang w:val="en-IE"/>
        </w:rPr>
        <w:t>S</w:t>
      </w:r>
      <w:r w:rsidRPr="00F601D2">
        <w:rPr>
          <w:rStyle w:val="normaltextrun"/>
          <w:sz w:val="22"/>
          <w:szCs w:val="22"/>
          <w:lang w:val="en-GB"/>
        </w:rPr>
        <w:t>ee Annex A2</w:t>
      </w:r>
      <w:r w:rsidR="00A609E7" w:rsidRPr="00F601D2">
        <w:rPr>
          <w:rStyle w:val="normaltextrun"/>
          <w:sz w:val="22"/>
          <w:szCs w:val="22"/>
          <w:lang w:val="en-GB"/>
        </w:rPr>
        <w:t>a1</w:t>
      </w:r>
      <w:r w:rsidRPr="00F601D2">
        <w:rPr>
          <w:rStyle w:val="normaltextrun"/>
          <w:sz w:val="22"/>
          <w:szCs w:val="22"/>
          <w:lang w:val="en-GB"/>
        </w:rPr>
        <w:t xml:space="preserve"> of the practical guide.</w:t>
      </w:r>
    </w:p>
    <w:p w14:paraId="57544065" w14:textId="0B0FDB37" w:rsidR="00B9793F" w:rsidRPr="00B336EF" w:rsidRDefault="00B9793F" w:rsidP="00371C5B">
      <w:pPr>
        <w:pStyle w:val="paragraph"/>
        <w:spacing w:before="0" w:beforeAutospacing="0" w:after="120" w:afterAutospacing="0"/>
        <w:ind w:left="284"/>
        <w:jc w:val="both"/>
        <w:textAlignment w:val="baseline"/>
        <w:rPr>
          <w:iCs/>
          <w:sz w:val="22"/>
          <w:szCs w:val="22"/>
          <w:lang w:val="en-IE"/>
        </w:rPr>
      </w:pPr>
      <w:r w:rsidRPr="00F601D2">
        <w:rPr>
          <w:iCs/>
          <w:sz w:val="22"/>
          <w:szCs w:val="22"/>
          <w:lang w:val="en-IE"/>
        </w:rPr>
        <w:t xml:space="preserve">For this contract award procedure, participation is open to all natural persons who are nationals of and legal persons (participating either individually or in a grouping – consortium – of candidates/tenderers) which are effectively established in </w:t>
      </w:r>
      <w:r w:rsidR="00050BCD" w:rsidRPr="00F601D2">
        <w:rPr>
          <w:iCs/>
          <w:sz w:val="22"/>
          <w:szCs w:val="22"/>
          <w:lang w:val="en-IE"/>
        </w:rPr>
        <w:t>a Member</w:t>
      </w:r>
      <w:r w:rsidRPr="00F601D2">
        <w:rPr>
          <w:iCs/>
          <w:sz w:val="22"/>
          <w:szCs w:val="22"/>
          <w:lang w:val="en-IE"/>
        </w:rPr>
        <w:t xml:space="preserve"> State of the European Union or in an eligible country or territory as defined under Article 1</w:t>
      </w:r>
      <w:r w:rsidR="009E5C83" w:rsidRPr="00F601D2">
        <w:rPr>
          <w:iCs/>
          <w:sz w:val="22"/>
          <w:szCs w:val="22"/>
          <w:lang w:val="en-IE"/>
        </w:rPr>
        <w:t>1</w:t>
      </w:r>
      <w:r w:rsidRPr="00F601D2">
        <w:rPr>
          <w:iCs/>
          <w:sz w:val="22"/>
          <w:szCs w:val="22"/>
          <w:lang w:val="en-IE"/>
        </w:rPr>
        <w:t xml:space="preserve"> of Regulation (EU) No </w:t>
      </w:r>
      <w:bookmarkStart w:id="1" w:name="_Hlk169257528"/>
      <w:r w:rsidR="00A609E7" w:rsidRPr="00F601D2">
        <w:rPr>
          <w:iCs/>
          <w:sz w:val="22"/>
          <w:szCs w:val="22"/>
          <w:lang w:val="en-IE"/>
        </w:rPr>
        <w:t>2021/</w:t>
      </w:r>
      <w:bookmarkEnd w:id="1"/>
      <w:r w:rsidR="00050BCD" w:rsidRPr="00F601D2">
        <w:rPr>
          <w:iCs/>
          <w:sz w:val="22"/>
          <w:szCs w:val="22"/>
          <w:lang w:val="en-IE"/>
        </w:rPr>
        <w:t>1529 establishing</w:t>
      </w:r>
      <w:r w:rsidRPr="00F601D2">
        <w:rPr>
          <w:iCs/>
          <w:sz w:val="22"/>
          <w:szCs w:val="22"/>
          <w:lang w:val="en-IE"/>
        </w:rPr>
        <w:t xml:space="preserve"> the Instrument for </w:t>
      </w:r>
      <w:r w:rsidRPr="00B336EF">
        <w:rPr>
          <w:iCs/>
          <w:sz w:val="22"/>
          <w:szCs w:val="22"/>
          <w:lang w:val="en-IE"/>
        </w:rPr>
        <w:t xml:space="preserve">Pre-accession Assistance (IPA III). </w:t>
      </w:r>
    </w:p>
    <w:p w14:paraId="1E9CB087" w14:textId="77777777" w:rsidR="008D4641" w:rsidRDefault="0092504E" w:rsidP="008D4641">
      <w:pPr>
        <w:pStyle w:val="paragraph"/>
        <w:spacing w:before="0" w:beforeAutospacing="0" w:after="120" w:afterAutospacing="0"/>
        <w:ind w:left="284"/>
        <w:jc w:val="both"/>
        <w:textAlignment w:val="baseline"/>
        <w:rPr>
          <w:iCs/>
          <w:sz w:val="22"/>
          <w:szCs w:val="22"/>
          <w:lang w:val="en-IE"/>
        </w:rPr>
      </w:pPr>
      <w:r w:rsidRPr="00B336EF">
        <w:rPr>
          <w:iCs/>
          <w:sz w:val="22"/>
          <w:szCs w:val="22"/>
          <w:lang w:val="en-IE"/>
        </w:rPr>
        <w:t>Participation is also open to international and regional organisations.</w:t>
      </w:r>
    </w:p>
    <w:p w14:paraId="28D1B6C3" w14:textId="77777777" w:rsidR="00B336EF" w:rsidRPr="00B336EF" w:rsidRDefault="00B336EF" w:rsidP="00B336EF">
      <w:pPr>
        <w:pStyle w:val="paragraph"/>
        <w:ind w:firstLine="284"/>
        <w:rPr>
          <w:iCs/>
          <w:sz w:val="22"/>
          <w:szCs w:val="22"/>
          <w:lang w:val="en-IE"/>
        </w:rPr>
      </w:pPr>
      <w:r w:rsidRPr="00B336EF">
        <w:rPr>
          <w:iCs/>
          <w:sz w:val="22"/>
          <w:szCs w:val="22"/>
          <w:lang w:val="en-IE"/>
        </w:rPr>
        <w:t>All supplies under this contract may originate in any country.</w:t>
      </w:r>
    </w:p>
    <w:p w14:paraId="63522FC5" w14:textId="79686E64" w:rsidR="006F5FD0" w:rsidRPr="00371C5B" w:rsidRDefault="006F5FD0" w:rsidP="00371C5B">
      <w:pPr>
        <w:keepNext/>
        <w:widowControl/>
        <w:spacing w:before="240" w:after="120"/>
        <w:ind w:left="426" w:hanging="426"/>
        <w:outlineLvl w:val="0"/>
        <w:rPr>
          <w:rStyle w:val="Strong"/>
        </w:rPr>
      </w:pPr>
      <w:bookmarkStart w:id="2" w:name="_DV_M201"/>
      <w:bookmarkStart w:id="3" w:name="_DV_M224"/>
      <w:bookmarkStart w:id="4" w:name="_DV_M225"/>
      <w:bookmarkStart w:id="5" w:name="_DV_M226"/>
      <w:bookmarkStart w:id="6" w:name="_DV_M227"/>
      <w:bookmarkStart w:id="7" w:name="_DV_M229"/>
      <w:bookmarkStart w:id="8" w:name="_DV_M231"/>
      <w:bookmarkStart w:id="9" w:name="_DV_M232"/>
      <w:bookmarkStart w:id="10" w:name="_DV_M233"/>
      <w:bookmarkStart w:id="11" w:name="_DV_M234"/>
      <w:bookmarkStart w:id="12" w:name="_DV_M235"/>
      <w:bookmarkStart w:id="13" w:name="_DV_M236"/>
      <w:bookmarkStart w:id="14" w:name="_DV_M237"/>
      <w:bookmarkStart w:id="15" w:name="_DV_M238"/>
      <w:bookmarkEnd w:id="2"/>
      <w:bookmarkEnd w:id="3"/>
      <w:bookmarkEnd w:id="4"/>
      <w:bookmarkEnd w:id="5"/>
      <w:bookmarkEnd w:id="6"/>
      <w:bookmarkEnd w:id="7"/>
      <w:bookmarkEnd w:id="8"/>
      <w:bookmarkEnd w:id="9"/>
      <w:bookmarkEnd w:id="10"/>
      <w:bookmarkEnd w:id="11"/>
      <w:bookmarkEnd w:id="12"/>
      <w:bookmarkEnd w:id="13"/>
      <w:bookmarkEnd w:id="14"/>
      <w:bookmarkEnd w:id="15"/>
      <w:r w:rsidRPr="00B33EE6">
        <w:rPr>
          <w:rStyle w:val="Strong"/>
          <w:sz w:val="22"/>
          <w:szCs w:val="22"/>
          <w:lang w:val="en-GB"/>
        </w:rPr>
        <w:t>1</w:t>
      </w:r>
      <w:r w:rsidR="004563EB">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Pr="00B33EE6" w:rsidRDefault="006F5FD0" w:rsidP="00371C5B">
      <w:pPr>
        <w:pStyle w:val="Blockquote"/>
        <w:spacing w:before="0" w:after="120"/>
        <w:ind w:left="425" w:right="0"/>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6CBC2AF9" w14:textId="77777777" w:rsidR="001A66C2" w:rsidRPr="003319C5" w:rsidRDefault="001A66C2" w:rsidP="00371C5B">
      <w:pPr>
        <w:pStyle w:val="Blockquote"/>
        <w:spacing w:before="0" w:after="120"/>
        <w:ind w:left="425" w:right="0"/>
        <w:jc w:val="both"/>
        <w:rPr>
          <w:rFonts w:eastAsia="Calibri"/>
          <w:i/>
          <w:iCs/>
          <w:snapToGrid/>
          <w:sz w:val="22"/>
          <w:szCs w:val="22"/>
          <w:lang w:val="en-GB"/>
        </w:rPr>
      </w:pPr>
      <w:r w:rsidRPr="003F1149">
        <w:rPr>
          <w:sz w:val="22"/>
          <w:szCs w:val="22"/>
          <w:lang w:val="en-GB"/>
        </w:rPr>
        <w:t xml:space="preserve">Any tenderer may state in its tender that it would offer a discount in the event that its tender is accepted for more than one lot. </w:t>
      </w:r>
    </w:p>
    <w:p w14:paraId="7B54A5E6" w14:textId="365FF395" w:rsidR="006F5FD0" w:rsidRPr="00371C5B" w:rsidRDefault="006F5FD0"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796D557F" w14:textId="54561F19" w:rsidR="006F5FD0" w:rsidRDefault="006F5FD0" w:rsidP="00371C5B">
      <w:pPr>
        <w:pStyle w:val="Blockquote"/>
        <w:spacing w:before="0" w:after="120"/>
        <w:ind w:left="425" w:right="0"/>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E128DF">
        <w:rPr>
          <w:sz w:val="22"/>
          <w:szCs w:val="22"/>
          <w:lang w:val="en-GB"/>
        </w:rPr>
        <w:t>4</w:t>
      </w:r>
      <w:r w:rsidRPr="00B33EE6">
        <w:rPr>
          <w:sz w:val="22"/>
          <w:szCs w:val="22"/>
          <w:lang w:val="en-GB"/>
        </w:rPr>
        <w:t>.</w:t>
      </w:r>
      <w:r w:rsidR="00E128DF">
        <w:rPr>
          <w:sz w:val="22"/>
          <w:szCs w:val="22"/>
          <w:lang w:val="en-GB"/>
        </w:rPr>
        <w:t>2</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E128DF">
        <w:rPr>
          <w:sz w:val="22"/>
          <w:szCs w:val="22"/>
          <w:lang w:val="en-GB"/>
        </w:rPr>
        <w:t>.</w:t>
      </w:r>
      <w:r w:rsidR="00E128DF" w:rsidRPr="00E128DF">
        <w:rPr>
          <w:sz w:val="22"/>
          <w:szCs w:val="22"/>
          <w:lang w:val="en-GB"/>
        </w:rPr>
        <w:t xml:space="preserve"> Where the tenderer intends to rely on capacity providing entities or subcontractor(s), he/she must provide the same declaration signed by this/these entity(ies).</w:t>
      </w:r>
    </w:p>
    <w:p w14:paraId="7275ED88" w14:textId="5FCB0755" w:rsidR="0039147E" w:rsidRPr="00B33EE6" w:rsidRDefault="00C03AF5" w:rsidP="00371C5B">
      <w:pPr>
        <w:pStyle w:val="Blockquote"/>
        <w:spacing w:before="0" w:after="120"/>
        <w:ind w:left="425" w:right="0"/>
        <w:jc w:val="both"/>
        <w:rPr>
          <w:sz w:val="22"/>
          <w:szCs w:val="22"/>
          <w:lang w:val="en-GB"/>
        </w:rPr>
      </w:pPr>
      <w:r>
        <w:rPr>
          <w:sz w:val="22"/>
          <w:szCs w:val="22"/>
          <w:lang w:val="en-GB"/>
        </w:rPr>
        <w:t>Tenderer</w:t>
      </w:r>
      <w:r w:rsidR="0039147E">
        <w:rPr>
          <w:sz w:val="22"/>
          <w:szCs w:val="22"/>
          <w:lang w:val="en-GB"/>
        </w:rPr>
        <w:t xml:space="preserve"> included in the lists of EU restrictive measures</w:t>
      </w:r>
      <w:r w:rsidR="00F06A6A">
        <w:rPr>
          <w:rStyle w:val="FootnoteReference"/>
          <w:sz w:val="22"/>
          <w:szCs w:val="22"/>
          <w:lang w:val="en-GB"/>
        </w:rPr>
        <w:footnoteReference w:id="2"/>
      </w:r>
      <w:r w:rsidR="0039147E">
        <w:rPr>
          <w:sz w:val="22"/>
          <w:szCs w:val="22"/>
          <w:lang w:val="en-GB"/>
        </w:rPr>
        <w:t xml:space="preserve">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126791C" w14:textId="06F3E870" w:rsidR="006F5FD0" w:rsidRPr="00371C5B" w:rsidRDefault="006F5FD0"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C010702" w14:textId="391D26F8" w:rsidR="00E9047D" w:rsidRDefault="00000000" w:rsidP="00371C5B">
      <w:pPr>
        <w:pStyle w:val="Blockquote"/>
        <w:spacing w:before="0" w:after="480"/>
        <w:ind w:left="425" w:right="0"/>
        <w:jc w:val="both"/>
        <w:rPr>
          <w:rStyle w:val="Emphasis"/>
          <w:i w:val="0"/>
          <w:sz w:val="22"/>
          <w:szCs w:val="22"/>
          <w:lang w:val="en-GB"/>
        </w:rPr>
      </w:pPr>
      <w:r>
        <w:rPr>
          <w:snapToGrid/>
          <w:sz w:val="22"/>
          <w:szCs w:val="22"/>
          <w:lang w:val="en-GB"/>
        </w:rPr>
        <w:pict w14:anchorId="11F7E59B">
          <v:line id="_x0000_s2053" style="position:absolute;left:0;text-align:left;z-index:3" from="1.5pt,35.35pt" to="469.5pt,35.4pt" o:allowincell="f" strokecolor="#d4d4d4" strokeweight="1.75pt">
            <v:shadow on="t" origin=",32385f" offset="0,-1pt"/>
          </v:line>
        </w:pict>
      </w:r>
      <w:r w:rsidR="006D6080"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25473DDE" w:rsidR="006F5FD0" w:rsidRPr="00B33EE6" w:rsidRDefault="006F5FD0" w:rsidP="00347E84">
      <w:pPr>
        <w:keepNext/>
        <w:jc w:val="center"/>
        <w:rPr>
          <w:sz w:val="28"/>
          <w:szCs w:val="28"/>
          <w:lang w:val="en-GB"/>
        </w:rPr>
      </w:pPr>
      <w:r w:rsidRPr="00B33EE6">
        <w:rPr>
          <w:rStyle w:val="Strong"/>
          <w:sz w:val="28"/>
          <w:szCs w:val="28"/>
          <w:lang w:val="en-GB"/>
        </w:rPr>
        <w:lastRenderedPageBreak/>
        <w:t>PROVISIONAL TIMETABLE</w:t>
      </w:r>
    </w:p>
    <w:p w14:paraId="669BA67B" w14:textId="5628C8CF" w:rsidR="006F5FD0" w:rsidRPr="00371C5B" w:rsidRDefault="006F5FD0"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7C4EA8E0" w14:textId="46FE6A50" w:rsidR="006F5FD0" w:rsidRPr="00B33EE6" w:rsidRDefault="00132854" w:rsidP="00371C5B">
      <w:pPr>
        <w:pStyle w:val="Blockquote"/>
        <w:spacing w:before="0" w:after="120"/>
        <w:ind w:left="357" w:right="0"/>
        <w:jc w:val="both"/>
        <w:rPr>
          <w:i/>
          <w:sz w:val="22"/>
          <w:szCs w:val="22"/>
          <w:lang w:val="en-GB"/>
        </w:rPr>
      </w:pPr>
      <w:r>
        <w:rPr>
          <w:rStyle w:val="Emphasis"/>
          <w:i w:val="0"/>
          <w:sz w:val="22"/>
          <w:szCs w:val="22"/>
          <w:lang w:val="en-GB"/>
        </w:rPr>
        <w:t>0</w:t>
      </w:r>
      <w:r w:rsidR="0074334C">
        <w:rPr>
          <w:rStyle w:val="Emphasis"/>
          <w:i w:val="0"/>
          <w:sz w:val="22"/>
          <w:szCs w:val="22"/>
          <w:lang w:val="mk-MK"/>
        </w:rPr>
        <w:t>9</w:t>
      </w:r>
      <w:r>
        <w:rPr>
          <w:rStyle w:val="Emphasis"/>
          <w:i w:val="0"/>
          <w:sz w:val="22"/>
          <w:szCs w:val="22"/>
          <w:lang w:val="en-GB"/>
        </w:rPr>
        <w:t>.09.2025</w:t>
      </w:r>
    </w:p>
    <w:p w14:paraId="70B1A4AA" w14:textId="75AC88E9" w:rsidR="006F5FD0" w:rsidRPr="00371C5B" w:rsidRDefault="005639EC"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4</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6A07015F" w14:textId="33CA6255" w:rsidR="006F5FD0" w:rsidRPr="00B33EE6" w:rsidRDefault="00132854" w:rsidP="00371C5B">
      <w:pPr>
        <w:pStyle w:val="Blockquote"/>
        <w:spacing w:before="0" w:after="120"/>
        <w:ind w:left="357" w:right="0"/>
        <w:jc w:val="both"/>
        <w:rPr>
          <w:i/>
          <w:sz w:val="22"/>
          <w:szCs w:val="22"/>
          <w:lang w:val="en-GB"/>
        </w:rPr>
      </w:pPr>
      <w:r w:rsidRPr="00132854">
        <w:rPr>
          <w:rStyle w:val="Emphasis"/>
          <w:i w:val="0"/>
          <w:sz w:val="22"/>
          <w:szCs w:val="22"/>
          <w:lang w:val="en-GB"/>
        </w:rPr>
        <w:t xml:space="preserve">System to be supplied, delivered, unloaded, sighted and installed, commissioned and technical </w:t>
      </w:r>
      <w:r w:rsidR="00E22BF2" w:rsidRPr="00132854">
        <w:rPr>
          <w:rStyle w:val="Emphasis"/>
          <w:i w:val="0"/>
          <w:sz w:val="22"/>
          <w:szCs w:val="22"/>
          <w:lang w:val="en-GB"/>
        </w:rPr>
        <w:t>check</w:t>
      </w:r>
      <w:r w:rsidRPr="00132854">
        <w:rPr>
          <w:rStyle w:val="Emphasis"/>
          <w:i w:val="0"/>
          <w:sz w:val="22"/>
          <w:szCs w:val="22"/>
          <w:lang w:val="en-GB"/>
        </w:rPr>
        <w:t xml:space="preserve"> in a period of 70 days after contract signed by both parties and maintained for 540 days.</w:t>
      </w:r>
    </w:p>
    <w:p w14:paraId="29CC7DD8" w14:textId="77777777" w:rsidR="006F5FD0" w:rsidRPr="00B33EE6" w:rsidRDefault="00000000" w:rsidP="00347E84">
      <w:pPr>
        <w:rPr>
          <w:sz w:val="22"/>
          <w:szCs w:val="22"/>
          <w:lang w:val="en-GB"/>
        </w:rPr>
      </w:pPr>
      <w:r>
        <w:rPr>
          <w:snapToGrid/>
          <w:sz w:val="22"/>
          <w:szCs w:val="22"/>
          <w:lang w:val="en-GB"/>
        </w:rPr>
        <w:pict w14:anchorId="6E3015B7">
          <v:line id="_x0000_s2054" style="position:absolute;z-index:4" from="0,18.75pt" to="468pt,18.8pt" o:allowincell="f" strokecolor="#d4d4d4" strokeweight="1.75pt">
            <v:shadow on="t" origin=",32385f" offset="0,-1pt"/>
          </v:line>
        </w:pict>
      </w:r>
    </w:p>
    <w:p w14:paraId="25048343" w14:textId="77777777" w:rsidR="006F5FD0" w:rsidRPr="00B33EE6" w:rsidRDefault="006F5FD0" w:rsidP="00347E84">
      <w:pPr>
        <w:jc w:val="center"/>
        <w:rPr>
          <w:sz w:val="28"/>
          <w:szCs w:val="28"/>
          <w:lang w:val="en-GB"/>
        </w:rPr>
      </w:pPr>
      <w:r w:rsidRPr="00B33EE6">
        <w:rPr>
          <w:rStyle w:val="Strong"/>
          <w:sz w:val="28"/>
          <w:szCs w:val="28"/>
          <w:lang w:val="en-GB"/>
        </w:rPr>
        <w:t>SELECTION AND AWARD CRITERIA</w:t>
      </w:r>
    </w:p>
    <w:p w14:paraId="392C793B" w14:textId="770D3912" w:rsidR="006F5FD0" w:rsidRDefault="005639EC" w:rsidP="00371C5B">
      <w:pPr>
        <w:keepNext/>
        <w:widowControl/>
        <w:spacing w:before="240" w:after="120"/>
        <w:ind w:left="425" w:hanging="425"/>
        <w:outlineLvl w:val="0"/>
        <w:rPr>
          <w:rStyle w:val="Strong"/>
          <w:sz w:val="22"/>
          <w:szCs w:val="22"/>
          <w:lang w:val="en-GB"/>
        </w:rPr>
      </w:pPr>
      <w:r w:rsidRPr="00B33EE6">
        <w:rPr>
          <w:rStyle w:val="Strong"/>
          <w:sz w:val="22"/>
          <w:szCs w:val="22"/>
          <w:lang w:val="en-GB"/>
        </w:rPr>
        <w:t>1</w:t>
      </w:r>
      <w:r w:rsidR="004563EB">
        <w:rPr>
          <w:rStyle w:val="Strong"/>
          <w:sz w:val="22"/>
          <w:szCs w:val="22"/>
          <w:lang w:val="en-GB"/>
        </w:rPr>
        <w:t>5</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7CAD1126" w14:textId="77777777" w:rsidR="00831982" w:rsidRPr="00AE0634" w:rsidRDefault="00831982" w:rsidP="00371C5B">
      <w:pPr>
        <w:pStyle w:val="Blockquote"/>
        <w:spacing w:before="0" w:after="120"/>
        <w:ind w:left="425" w:right="0"/>
        <w:jc w:val="both"/>
        <w:rPr>
          <w:sz w:val="22"/>
          <w:szCs w:val="22"/>
          <w:lang w:val="en-GB"/>
        </w:rPr>
      </w:pPr>
      <w:r w:rsidRPr="00AE0634">
        <w:rPr>
          <w:sz w:val="22"/>
          <w:szCs w:val="22"/>
          <w:lang w:val="en-GB"/>
        </w:rPr>
        <w:t>Capacity-providing entities</w:t>
      </w:r>
    </w:p>
    <w:p w14:paraId="1677E155" w14:textId="77777777" w:rsidR="00831982" w:rsidRPr="00AE0634" w:rsidRDefault="00831982" w:rsidP="00371C5B">
      <w:pPr>
        <w:pStyle w:val="Blockquote"/>
        <w:spacing w:before="0" w:after="120"/>
        <w:ind w:left="425" w:right="0"/>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100C3D8B" w14:textId="77777777" w:rsidR="00831982" w:rsidRPr="00AE0634" w:rsidRDefault="00831982" w:rsidP="00371C5B">
      <w:pPr>
        <w:pStyle w:val="Blockquote"/>
        <w:spacing w:before="0" w:after="120"/>
        <w:ind w:left="425" w:right="0"/>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2C410C11" w14:textId="03C063D0" w:rsidR="00831982" w:rsidRPr="00B33EE6" w:rsidRDefault="00831982" w:rsidP="00371C5B">
      <w:pPr>
        <w:widowControl/>
        <w:spacing w:before="0" w:after="120"/>
        <w:ind w:left="425"/>
        <w:jc w:val="both"/>
        <w:rPr>
          <w:sz w:val="22"/>
          <w:szCs w:val="22"/>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D716E4E" w14:textId="09857B85" w:rsidR="006F5FD0" w:rsidRDefault="006F5FD0" w:rsidP="00371C5B">
      <w:pPr>
        <w:pStyle w:val="Blockquote"/>
        <w:ind w:left="425" w:right="0"/>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371C5B">
        <w:rPr>
          <w:b/>
          <w:bCs/>
          <w:sz w:val="22"/>
          <w:szCs w:val="22"/>
          <w:lang w:val="en-GB"/>
        </w:rPr>
        <w:t xml:space="preserve">. </w:t>
      </w:r>
      <w:r w:rsidRPr="00371C5B">
        <w:rPr>
          <w:b/>
          <w:bCs/>
          <w:sz w:val="22"/>
          <w:szCs w:val="22"/>
          <w:lang w:val="en-GB"/>
        </w:rPr>
        <w:t xml:space="preserve">In the case of </w:t>
      </w:r>
      <w:r w:rsidR="005639EC" w:rsidRPr="00371C5B">
        <w:rPr>
          <w:b/>
          <w:bCs/>
          <w:sz w:val="22"/>
          <w:szCs w:val="22"/>
          <w:lang w:val="en-GB"/>
        </w:rPr>
        <w:t>tenders</w:t>
      </w:r>
      <w:r w:rsidRPr="00371C5B">
        <w:rPr>
          <w:b/>
          <w:bCs/>
          <w:sz w:val="22"/>
          <w:szCs w:val="22"/>
          <w:lang w:val="en-GB"/>
        </w:rPr>
        <w:t xml:space="preserve"> submitted by a consortium, these selection criteria will be applied to the consortium as a whole</w:t>
      </w:r>
      <w:r w:rsidR="006751D2" w:rsidRPr="00371C5B">
        <w:rPr>
          <w:b/>
          <w:bCs/>
          <w:sz w:val="22"/>
          <w:szCs w:val="22"/>
          <w:lang w:val="en-GB"/>
        </w:rPr>
        <w:t xml:space="preserve"> if not specified otherwise</w:t>
      </w:r>
      <w:r w:rsidR="006751D2" w:rsidRPr="00B33EE6">
        <w:rPr>
          <w:sz w:val="22"/>
          <w:szCs w:val="22"/>
          <w:lang w:val="en-GB"/>
        </w:rPr>
        <w:t>. The selection criteria will not be applied to natural persons and single-member companies when they are sub-contractors.</w:t>
      </w:r>
    </w:p>
    <w:p w14:paraId="7E591805" w14:textId="2EE6B645" w:rsidR="00D06A30" w:rsidRDefault="00D06A30" w:rsidP="00371C5B">
      <w:pPr>
        <w:pStyle w:val="Blockquote"/>
        <w:ind w:left="425" w:right="0"/>
        <w:jc w:val="both"/>
        <w:rPr>
          <w:sz w:val="22"/>
          <w:szCs w:val="22"/>
          <w:lang w:val="en-GB"/>
        </w:rPr>
      </w:pPr>
      <w:r w:rsidRPr="004916FF">
        <w:rPr>
          <w:sz w:val="22"/>
          <w:szCs w:val="22"/>
          <w:lang w:val="en-GB"/>
        </w:rPr>
        <w:t xml:space="preserve">The </w:t>
      </w:r>
      <w:r>
        <w:rPr>
          <w:sz w:val="22"/>
          <w:szCs w:val="22"/>
          <w:lang w:val="en-GB"/>
        </w:rPr>
        <w:t>tenderer</w:t>
      </w:r>
      <w:r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p>
    <w:p w14:paraId="53A16187" w14:textId="60E05DE7" w:rsidR="006F5FD0" w:rsidRDefault="006F5FD0" w:rsidP="00371C5B">
      <w:pPr>
        <w:pStyle w:val="Blockquote"/>
        <w:numPr>
          <w:ilvl w:val="0"/>
          <w:numId w:val="45"/>
        </w:numPr>
        <w:tabs>
          <w:tab w:val="left" w:pos="851"/>
        </w:tabs>
        <w:ind w:left="851" w:right="0" w:hanging="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w:t>
      </w:r>
      <w:r w:rsidR="006751D2" w:rsidRPr="00371C5B">
        <w:rPr>
          <w:b/>
          <w:bCs/>
          <w:sz w:val="22"/>
          <w:szCs w:val="22"/>
          <w:lang w:val="en-GB"/>
        </w:rPr>
        <w:t xml:space="preserve">the last three </w:t>
      </w:r>
      <w:r w:rsidR="00D51C7E" w:rsidRPr="00371C5B">
        <w:rPr>
          <w:b/>
          <w:bCs/>
          <w:sz w:val="22"/>
          <w:szCs w:val="22"/>
          <w:lang w:val="en-GB"/>
        </w:rPr>
        <w:t xml:space="preserve">financial </w:t>
      </w:r>
      <w:r w:rsidR="006751D2" w:rsidRPr="00371C5B">
        <w:rPr>
          <w:b/>
          <w:bCs/>
          <w:sz w:val="22"/>
          <w:szCs w:val="22"/>
          <w:lang w:val="en-GB"/>
        </w:rPr>
        <w:t>years for which accounts have been closed.</w:t>
      </w:r>
    </w:p>
    <w:p w14:paraId="6524F3AA" w14:textId="77777777" w:rsidR="008B036D" w:rsidRPr="008B036D" w:rsidRDefault="008B036D" w:rsidP="008B036D">
      <w:pPr>
        <w:pStyle w:val="Blockquote"/>
        <w:ind w:left="425" w:right="0"/>
        <w:jc w:val="both"/>
        <w:rPr>
          <w:sz w:val="22"/>
          <w:szCs w:val="22"/>
          <w:lang w:val="mk-MK"/>
        </w:rPr>
      </w:pPr>
      <w:r w:rsidRPr="008B036D">
        <w:rPr>
          <w:sz w:val="22"/>
          <w:szCs w:val="22"/>
          <w:lang w:val="en-GB"/>
        </w:rPr>
        <w:lastRenderedPageBreak/>
        <w:t>The selection criteria for each tenderer are as follows:</w:t>
      </w:r>
    </w:p>
    <w:p w14:paraId="6C324E8C" w14:textId="59EB3394" w:rsidR="004E1482" w:rsidRPr="00B33EE6" w:rsidRDefault="00517ADA" w:rsidP="008B036D">
      <w:pPr>
        <w:pStyle w:val="Blockquote"/>
        <w:ind w:left="425" w:right="0"/>
        <w:jc w:val="both"/>
        <w:rPr>
          <w:sz w:val="22"/>
          <w:szCs w:val="22"/>
          <w:lang w:val="en-GB"/>
        </w:rPr>
      </w:pPr>
      <w:r w:rsidRPr="008B036D">
        <w:rPr>
          <w:sz w:val="22"/>
          <w:szCs w:val="22"/>
          <w:lang w:val="en-GB"/>
        </w:rPr>
        <w:t>Current ratio (current assets/current liabilities) in the last year for which accounts have been closed must be at least 1. In case of a consortium this criterion must be fulfilled by each member.</w:t>
      </w:r>
    </w:p>
    <w:p w14:paraId="5D762B00" w14:textId="18164060" w:rsidR="006F5FD0" w:rsidRPr="00B33EE6" w:rsidRDefault="00571687" w:rsidP="00371C5B">
      <w:pPr>
        <w:pStyle w:val="Blockquote"/>
        <w:ind w:left="709" w:right="0" w:hanging="284"/>
        <w:jc w:val="both"/>
        <w:rPr>
          <w:sz w:val="22"/>
          <w:szCs w:val="22"/>
          <w:lang w:val="en-GB"/>
        </w:rPr>
      </w:pPr>
      <w:r w:rsidRPr="00371C5B">
        <w:rPr>
          <w:b/>
          <w:sz w:val="22"/>
          <w:szCs w:val="22"/>
          <w:lang w:val="en-GB"/>
        </w:rPr>
        <w:t>2)</w:t>
      </w:r>
      <w:r w:rsidRPr="00371C5B">
        <w:rPr>
          <w:sz w:val="22"/>
          <w:szCs w:val="22"/>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w:t>
      </w:r>
      <w:r w:rsidR="00287536">
        <w:rPr>
          <w:sz w:val="22"/>
          <w:szCs w:val="22"/>
          <w:lang w:val="en-GB"/>
        </w:rPr>
        <w:t xml:space="preserve">and 5 </w:t>
      </w:r>
      <w:r w:rsidR="00087A72" w:rsidRPr="00B33EE6">
        <w:rPr>
          <w:sz w:val="22"/>
          <w:szCs w:val="22"/>
          <w:lang w:val="en-GB"/>
        </w:rPr>
        <w:t xml:space="preserve">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63B7CA97" w14:textId="77777777" w:rsidR="00D8591E" w:rsidRDefault="00D8591E" w:rsidP="00D8591E">
      <w:pPr>
        <w:pStyle w:val="Blockquote"/>
        <w:tabs>
          <w:tab w:val="left" w:pos="284"/>
        </w:tabs>
        <w:ind w:left="720"/>
        <w:jc w:val="both"/>
        <w:rPr>
          <w:sz w:val="22"/>
          <w:szCs w:val="22"/>
          <w:lang w:val="en-GB"/>
        </w:rPr>
      </w:pPr>
      <w:r w:rsidRPr="00B33EE6">
        <w:rPr>
          <w:sz w:val="22"/>
          <w:szCs w:val="22"/>
          <w:lang w:val="en-GB"/>
        </w:rPr>
        <w:t xml:space="preserve">The reference period which will be taken into account will be </w:t>
      </w:r>
      <w:r w:rsidRPr="00371C5B">
        <w:rPr>
          <w:b/>
          <w:bCs/>
          <w:sz w:val="22"/>
          <w:szCs w:val="22"/>
          <w:lang w:val="en-GB"/>
        </w:rPr>
        <w:t>the last three years preceding the submission deadline.</w:t>
      </w:r>
      <w:r w:rsidRPr="00DB1C59">
        <w:rPr>
          <w:sz w:val="22"/>
          <w:szCs w:val="22"/>
          <w:lang w:val="en-GB"/>
        </w:rPr>
        <w:t xml:space="preserve"> </w:t>
      </w:r>
    </w:p>
    <w:p w14:paraId="1CE3F041" w14:textId="77777777" w:rsidR="00D8591E" w:rsidRPr="0014590B" w:rsidRDefault="00D8591E" w:rsidP="00D8591E">
      <w:pPr>
        <w:pStyle w:val="Blockquote"/>
        <w:tabs>
          <w:tab w:val="left" w:pos="284"/>
        </w:tabs>
        <w:ind w:left="720"/>
        <w:jc w:val="both"/>
        <w:rPr>
          <w:sz w:val="22"/>
          <w:szCs w:val="22"/>
          <w:lang w:val="en-GB"/>
        </w:rPr>
      </w:pPr>
      <w:r w:rsidRPr="0014590B">
        <w:rPr>
          <w:sz w:val="22"/>
          <w:szCs w:val="22"/>
          <w:lang w:val="en-GB"/>
        </w:rPr>
        <w:t xml:space="preserve">Criteria for legal and natural persons: </w:t>
      </w:r>
      <w:r w:rsidRPr="0014590B" w:rsidDel="006C0EB6">
        <w:rPr>
          <w:sz w:val="22"/>
          <w:szCs w:val="22"/>
          <w:lang w:val="en-GB"/>
        </w:rPr>
        <w:t xml:space="preserve"> </w:t>
      </w:r>
    </w:p>
    <w:p w14:paraId="195C8042" w14:textId="1494B158" w:rsidR="00BE08EC" w:rsidRPr="00D8591E" w:rsidRDefault="003150A2" w:rsidP="00BF448B">
      <w:pPr>
        <w:pStyle w:val="Blockquote"/>
        <w:numPr>
          <w:ilvl w:val="0"/>
          <w:numId w:val="47"/>
        </w:numPr>
        <w:ind w:left="431" w:right="0" w:hanging="6"/>
        <w:jc w:val="both"/>
        <w:rPr>
          <w:b/>
          <w:bCs/>
          <w:sz w:val="22"/>
          <w:szCs w:val="22"/>
          <w:lang w:val="en-GB"/>
        </w:rPr>
      </w:pPr>
      <w:r w:rsidRPr="003150A2">
        <w:rPr>
          <w:sz w:val="22"/>
          <w:szCs w:val="22"/>
        </w:rPr>
        <w:t>has a professional certificate appropriate to this contract, such as valid certificates confirming that at least two employees are qualified according to the international standard EN ISO 9606-1.</w:t>
      </w:r>
    </w:p>
    <w:p w14:paraId="05E75179" w14:textId="1EB429AC" w:rsidR="00BE08EC" w:rsidRPr="00B33EE6" w:rsidRDefault="00571687" w:rsidP="00371C5B">
      <w:pPr>
        <w:pStyle w:val="Blockquote"/>
        <w:ind w:left="782" w:right="0" w:hanging="357"/>
        <w:jc w:val="both"/>
        <w:rPr>
          <w:sz w:val="22"/>
          <w:szCs w:val="22"/>
          <w:lang w:val="en-GB"/>
        </w:rPr>
      </w:pPr>
      <w:r w:rsidRPr="00371C5B">
        <w:rPr>
          <w:b/>
          <w:sz w:val="22"/>
          <w:szCs w:val="22"/>
          <w:lang w:val="en-GB"/>
        </w:rPr>
        <w:t>3)</w:t>
      </w:r>
      <w:r w:rsidRPr="00371C5B">
        <w:rPr>
          <w:b/>
          <w:sz w:val="22"/>
          <w:szCs w:val="22"/>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w:t>
      </w:r>
      <w:r w:rsidR="00BE08EC" w:rsidRPr="008B036D">
        <w:rPr>
          <w:sz w:val="22"/>
          <w:szCs w:val="22"/>
          <w:lang w:val="en-GB"/>
        </w:rPr>
        <w:t>the last three</w:t>
      </w:r>
      <w:r w:rsidR="00862885" w:rsidRPr="008B036D">
        <w:rPr>
          <w:sz w:val="22"/>
          <w:szCs w:val="22"/>
          <w:lang w:val="en-GB"/>
        </w:rPr>
        <w:t xml:space="preserve"> years</w:t>
      </w:r>
      <w:r w:rsidR="00862885" w:rsidRPr="00A046E7">
        <w:rPr>
          <w:sz w:val="22"/>
          <w:szCs w:val="22"/>
          <w:lang w:val="en-GB"/>
        </w:rPr>
        <w:t xml:space="preserve"> </w:t>
      </w:r>
      <w:r w:rsidR="00771F97">
        <w:rPr>
          <w:sz w:val="22"/>
          <w:szCs w:val="22"/>
          <w:lang w:val="en-GB"/>
        </w:rPr>
        <w:t>preceding the</w:t>
      </w:r>
      <w:r w:rsidR="00BE08EC" w:rsidRPr="00B33EE6">
        <w:rPr>
          <w:sz w:val="22"/>
          <w:szCs w:val="22"/>
          <w:lang w:val="en-GB"/>
        </w:rPr>
        <w:t xml:space="preserve"> submission deadline.</w:t>
      </w:r>
    </w:p>
    <w:p w14:paraId="67053663" w14:textId="170E0C85" w:rsidR="00CB2A5B" w:rsidRDefault="00CB2A5B" w:rsidP="00371C5B">
      <w:pPr>
        <w:pStyle w:val="Blockquote"/>
        <w:tabs>
          <w:tab w:val="left" w:pos="284"/>
        </w:tabs>
        <w:ind w:left="425" w:right="0"/>
        <w:jc w:val="both"/>
        <w:rPr>
          <w:sz w:val="22"/>
          <w:szCs w:val="22"/>
          <w:lang w:val="en-GB"/>
        </w:rPr>
      </w:pPr>
      <w:r w:rsidRPr="00CB2A5B">
        <w:rPr>
          <w:sz w:val="22"/>
          <w:szCs w:val="22"/>
          <w:lang w:val="en-GB"/>
        </w:rPr>
        <w:t xml:space="preserve">This means that the contract the tenderer refers to could have been </w:t>
      </w:r>
      <w:r w:rsidR="002065E9">
        <w:rPr>
          <w:sz w:val="22"/>
          <w:szCs w:val="22"/>
          <w:lang w:val="en-GB"/>
        </w:rPr>
        <w:t>implemented</w:t>
      </w:r>
      <w:r w:rsidR="002065E9" w:rsidRPr="00CB2A5B" w:rsidDel="002065E9">
        <w:rPr>
          <w:sz w:val="22"/>
          <w:szCs w:val="22"/>
          <w:lang w:val="en-GB"/>
        </w:rPr>
        <w:t xml:space="preserve"> </w:t>
      </w:r>
      <w:r w:rsidRPr="00CB2A5B">
        <w:rPr>
          <w:sz w:val="22"/>
          <w:szCs w:val="22"/>
          <w:lang w:val="en-GB"/>
        </w:rPr>
        <w:t xml:space="preserve">at any time during the indicated period but it does not necessarily have to be completed during that period, nor implemented during the entire period. Tenderers are allowed to refer either to supply contracts completed within the reference period (although started earlier) or to supply contracts </w:t>
      </w:r>
      <w:r w:rsidR="002065E9" w:rsidRPr="002065E9">
        <w:rPr>
          <w:sz w:val="22"/>
          <w:szCs w:val="22"/>
          <w:lang w:val="en-GB"/>
        </w:rPr>
        <w:t xml:space="preserve">partially implemented during, but </w:t>
      </w:r>
      <w:r w:rsidRPr="00CB2A5B">
        <w:rPr>
          <w:sz w:val="22"/>
          <w:szCs w:val="22"/>
          <w:lang w:val="en-GB"/>
        </w:rPr>
        <w:t>not yet completed</w:t>
      </w:r>
      <w:r w:rsidR="002065E9">
        <w:rPr>
          <w:sz w:val="22"/>
          <w:szCs w:val="22"/>
          <w:lang w:val="en-GB"/>
        </w:rPr>
        <w:t xml:space="preserve"> within the reference period</w:t>
      </w:r>
      <w:r w:rsidRPr="00CB2A5B">
        <w:rPr>
          <w:sz w:val="22"/>
          <w:szCs w:val="22"/>
          <w:lang w:val="en-GB"/>
        </w:rPr>
        <w:t>. Only the p</w:t>
      </w:r>
      <w:r w:rsidR="002065E9">
        <w:rPr>
          <w:sz w:val="22"/>
          <w:szCs w:val="22"/>
          <w:lang w:val="en-GB"/>
        </w:rPr>
        <w:t>a</w:t>
      </w:r>
      <w:r w:rsidRPr="00CB2A5B">
        <w:rPr>
          <w:sz w:val="22"/>
          <w:szCs w:val="22"/>
          <w:lang w:val="en-GB"/>
        </w:rPr>
        <w:t>rt completed during the reference period will be taken into consideration. This p</w:t>
      </w:r>
      <w:r w:rsidR="002065E9">
        <w:rPr>
          <w:sz w:val="22"/>
          <w:szCs w:val="22"/>
          <w:lang w:val="en-GB"/>
        </w:rPr>
        <w:t>art</w:t>
      </w:r>
      <w:r w:rsidRPr="00CB2A5B">
        <w:rPr>
          <w:sz w:val="22"/>
          <w:szCs w:val="22"/>
          <w:lang w:val="en-GB"/>
        </w:rPr>
        <w:t xml:space="preserve"> will have to be supported by documentary evidence (</w:t>
      </w:r>
      <w:r w:rsidR="002065E9" w:rsidRPr="005C26A3">
        <w:rPr>
          <w:sz w:val="22"/>
          <w:szCs w:val="22"/>
          <w:lang w:val="en-GB"/>
        </w:rPr>
        <w:t xml:space="preserve">approval of report or </w:t>
      </w:r>
      <w:r w:rsidR="002065E9">
        <w:rPr>
          <w:sz w:val="22"/>
          <w:szCs w:val="22"/>
          <w:lang w:val="en-GB"/>
        </w:rPr>
        <w:t>deliverable</w:t>
      </w:r>
      <w:r w:rsidR="002065E9" w:rsidRPr="005C26A3">
        <w:rPr>
          <w:sz w:val="22"/>
          <w:szCs w:val="22"/>
          <w:lang w:val="en-GB"/>
        </w:rPr>
        <w:t xml:space="preserve">, proof of payment, </w:t>
      </w:r>
      <w:r w:rsidRPr="00CB2A5B">
        <w:rPr>
          <w:sz w:val="22"/>
          <w:szCs w:val="22"/>
          <w:lang w:val="en-GB"/>
        </w:rPr>
        <w:t>statement or certificate from the entity which awarded the contract) also detailing its value. If a tenderer has implemented the supply contract in a consortium, the percentage that the tenderer has successfully completed must be clear from the documentary evidence</w:t>
      </w:r>
      <w:r w:rsidR="002065E9">
        <w:rPr>
          <w:sz w:val="22"/>
          <w:szCs w:val="22"/>
          <w:lang w:val="en-GB"/>
        </w:rPr>
        <w:t xml:space="preserve"> </w:t>
      </w:r>
      <w:r w:rsidR="002065E9" w:rsidRPr="005C26A3">
        <w:rPr>
          <w:sz w:val="22"/>
          <w:szCs w:val="22"/>
          <w:lang w:val="en-GB"/>
        </w:rPr>
        <w:t>(such as consortium agreement and bank transfers between consortium members</w:t>
      </w:r>
      <w:r w:rsidR="002065E9">
        <w:rPr>
          <w:sz w:val="22"/>
          <w:szCs w:val="22"/>
          <w:lang w:val="en-GB"/>
        </w:rPr>
        <w:t>)</w:t>
      </w:r>
      <w:r w:rsidRPr="00CB2A5B">
        <w:rPr>
          <w:sz w:val="22"/>
          <w:szCs w:val="22"/>
          <w:lang w:val="en-GB"/>
        </w:rPr>
        <w:t>, together with a description of the nature of the supplies provided.</w:t>
      </w:r>
    </w:p>
    <w:p w14:paraId="0F3A8DD3" w14:textId="77777777" w:rsidR="00235A71" w:rsidRPr="008B036D" w:rsidRDefault="00235A71" w:rsidP="00371C5B">
      <w:pPr>
        <w:pStyle w:val="Blockquote"/>
        <w:tabs>
          <w:tab w:val="left" w:pos="284"/>
        </w:tabs>
        <w:ind w:left="425" w:right="0"/>
        <w:jc w:val="both"/>
        <w:rPr>
          <w:sz w:val="22"/>
          <w:szCs w:val="22"/>
          <w:lang w:val="en-GB"/>
        </w:rPr>
      </w:pPr>
      <w:r w:rsidRPr="008B036D">
        <w:rPr>
          <w:sz w:val="22"/>
          <w:szCs w:val="22"/>
          <w:lang w:val="en-GB"/>
        </w:rPr>
        <w:t xml:space="preserve">Criteria for legal and natural persons: </w:t>
      </w:r>
      <w:r w:rsidRPr="008B036D" w:rsidDel="006C0EB6">
        <w:rPr>
          <w:sz w:val="22"/>
          <w:szCs w:val="22"/>
          <w:lang w:val="en-GB"/>
        </w:rPr>
        <w:t xml:space="preserve"> </w:t>
      </w:r>
    </w:p>
    <w:p w14:paraId="511B6308" w14:textId="05FF5EB5" w:rsidR="00E41E58" w:rsidRPr="00E41E58" w:rsidRDefault="00E41E58" w:rsidP="00050BCD">
      <w:pPr>
        <w:pStyle w:val="Blockquote"/>
        <w:numPr>
          <w:ilvl w:val="0"/>
          <w:numId w:val="36"/>
        </w:numPr>
        <w:tabs>
          <w:tab w:val="clear" w:pos="360"/>
          <w:tab w:val="left" w:pos="851"/>
        </w:tabs>
        <w:ind w:left="851" w:right="0" w:hanging="294"/>
        <w:jc w:val="both"/>
        <w:rPr>
          <w:sz w:val="22"/>
          <w:szCs w:val="22"/>
          <w:lang w:val="en-GB"/>
        </w:rPr>
      </w:pPr>
      <w:r w:rsidRPr="00E41E58">
        <w:rPr>
          <w:sz w:val="22"/>
          <w:szCs w:val="22"/>
          <w:lang w:val="en-GB"/>
        </w:rPr>
        <w:t xml:space="preserve">The tenderer has </w:t>
      </w:r>
      <w:r w:rsidRPr="00CB71A6">
        <w:rPr>
          <w:sz w:val="22"/>
          <w:szCs w:val="22"/>
          <w:lang w:val="en-GB"/>
        </w:rPr>
        <w:t xml:space="preserve">worked successfully on </w:t>
      </w:r>
      <w:r w:rsidRPr="00E41E58">
        <w:rPr>
          <w:sz w:val="22"/>
          <w:szCs w:val="22"/>
          <w:lang w:val="en-GB"/>
        </w:rPr>
        <w:t xml:space="preserve">at least </w:t>
      </w:r>
      <w:r w:rsidR="00EF05BE">
        <w:rPr>
          <w:sz w:val="22"/>
          <w:szCs w:val="22"/>
          <w:lang w:val="en-GB"/>
        </w:rPr>
        <w:t xml:space="preserve">one </w:t>
      </w:r>
      <w:r w:rsidRPr="00E41E58">
        <w:rPr>
          <w:sz w:val="22"/>
          <w:szCs w:val="22"/>
          <w:lang w:val="en-GB"/>
        </w:rPr>
        <w:t>(</w:t>
      </w:r>
      <w:r w:rsidR="00EF05BE">
        <w:rPr>
          <w:sz w:val="22"/>
          <w:szCs w:val="22"/>
          <w:lang w:val="en-GB"/>
        </w:rPr>
        <w:t>1</w:t>
      </w:r>
      <w:r w:rsidRPr="00E41E58">
        <w:rPr>
          <w:sz w:val="22"/>
          <w:szCs w:val="22"/>
          <w:lang w:val="en-GB"/>
        </w:rPr>
        <w:t>) contract</w:t>
      </w:r>
      <w:r w:rsidR="00EF05BE">
        <w:rPr>
          <w:sz w:val="22"/>
          <w:szCs w:val="22"/>
          <w:lang w:val="en-GB"/>
        </w:rPr>
        <w:t xml:space="preserve"> in</w:t>
      </w:r>
      <w:r w:rsidRPr="00E41E58">
        <w:rPr>
          <w:sz w:val="22"/>
          <w:szCs w:val="22"/>
          <w:lang w:val="en-GB"/>
        </w:rPr>
        <w:t xml:space="preserve"> </w:t>
      </w:r>
      <w:r w:rsidRPr="00CB71A6">
        <w:rPr>
          <w:sz w:val="22"/>
          <w:szCs w:val="22"/>
          <w:lang w:val="en-GB"/>
        </w:rPr>
        <w:t>fields related to this contract</w:t>
      </w:r>
      <w:r w:rsidRPr="00E41E58">
        <w:rPr>
          <w:sz w:val="22"/>
          <w:szCs w:val="22"/>
          <w:lang w:val="en-GB"/>
        </w:rPr>
        <w:t xml:space="preserve"> (e.g., solar-powered infrastructure, metal structures, electrical installation)</w:t>
      </w:r>
    </w:p>
    <w:p w14:paraId="36FE5E2E" w14:textId="76250C06" w:rsidR="006F5FD0" w:rsidRPr="00371C5B" w:rsidRDefault="00994EA3" w:rsidP="00371C5B">
      <w:pPr>
        <w:keepNext/>
        <w:widowControl/>
        <w:spacing w:before="240" w:after="120"/>
        <w:ind w:left="426" w:hanging="426"/>
        <w:outlineLvl w:val="0"/>
        <w:rPr>
          <w:rStyle w:val="Strong"/>
        </w:rPr>
      </w:pPr>
      <w:r w:rsidRPr="00B33EE6">
        <w:rPr>
          <w:rStyle w:val="Strong"/>
          <w:sz w:val="22"/>
          <w:szCs w:val="22"/>
          <w:lang w:val="en-GB"/>
        </w:rPr>
        <w:t>1</w:t>
      </w:r>
      <w:r w:rsidR="0090581D">
        <w:rPr>
          <w:rStyle w:val="Strong"/>
          <w:sz w:val="22"/>
          <w:szCs w:val="22"/>
          <w:lang w:val="en-GB"/>
        </w:rPr>
        <w:t>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576FDB42" w14:textId="0D44BDB3" w:rsidR="006F5FD0" w:rsidRPr="00B33EE6" w:rsidRDefault="00831982" w:rsidP="00371C5B">
      <w:pPr>
        <w:pStyle w:val="Blockquote"/>
        <w:spacing w:before="0"/>
        <w:ind w:left="425" w:right="0"/>
        <w:jc w:val="both"/>
        <w:rPr>
          <w:sz w:val="22"/>
          <w:szCs w:val="22"/>
          <w:lang w:val="en-GB"/>
        </w:rPr>
      </w:pPr>
      <w:r w:rsidRPr="003F1149">
        <w:rPr>
          <w:sz w:val="22"/>
          <w:szCs w:val="22"/>
          <w:lang w:val="en-GB"/>
        </w:rPr>
        <w:t xml:space="preserve">Price </w:t>
      </w:r>
      <w:r>
        <w:rPr>
          <w:sz w:val="22"/>
          <w:szCs w:val="22"/>
          <w:lang w:val="en-GB"/>
        </w:rPr>
        <w:t>(</w:t>
      </w:r>
      <w:r w:rsidRPr="003F1149">
        <w:rPr>
          <w:sz w:val="22"/>
          <w:szCs w:val="22"/>
          <w:lang w:val="en-GB"/>
        </w:rPr>
        <w:t>or, if appropriate after</w:t>
      </w:r>
      <w:r>
        <w:rPr>
          <w:sz w:val="22"/>
          <w:szCs w:val="22"/>
          <w:lang w:val="en-GB"/>
        </w:rPr>
        <w:t xml:space="preserve"> </w:t>
      </w:r>
      <w:r w:rsidRPr="00D7474F">
        <w:rPr>
          <w:sz w:val="22"/>
          <w:szCs w:val="22"/>
          <w:lang w:val="en-GB"/>
        </w:rPr>
        <w:t>prior approval</w:t>
      </w:r>
      <w:r w:rsidRPr="003F1149">
        <w:rPr>
          <w:sz w:val="22"/>
          <w:szCs w:val="22"/>
          <w:lang w:val="en-GB"/>
        </w:rPr>
        <w:t xml:space="preserve">, the </w:t>
      </w:r>
      <w:r>
        <w:rPr>
          <w:sz w:val="22"/>
          <w:szCs w:val="22"/>
          <w:lang w:val="en-GB"/>
        </w:rPr>
        <w:t>best</w:t>
      </w:r>
      <w:r w:rsidR="00DA388D">
        <w:rPr>
          <w:sz w:val="22"/>
          <w:szCs w:val="22"/>
          <w:lang w:val="en-GB"/>
        </w:rPr>
        <w:t xml:space="preserve"> price-quality ratio</w:t>
      </w:r>
      <w:r>
        <w:rPr>
          <w:sz w:val="22"/>
          <w:szCs w:val="22"/>
          <w:lang w:val="en-GB"/>
        </w:rPr>
        <w:t xml:space="preserve"> </w:t>
      </w:r>
      <w:r w:rsidRPr="003F1149">
        <w:rPr>
          <w:sz w:val="22"/>
          <w:szCs w:val="22"/>
          <w:lang w:val="en-GB"/>
        </w:rPr>
        <w:t>which is a combination of quality</w:t>
      </w:r>
      <w:r>
        <w:rPr>
          <w:sz w:val="22"/>
          <w:szCs w:val="22"/>
          <w:lang w:val="en-GB"/>
        </w:rPr>
        <w:t xml:space="preserve"> and </w:t>
      </w:r>
      <w:r w:rsidRPr="003F1149">
        <w:rPr>
          <w:sz w:val="22"/>
          <w:szCs w:val="22"/>
          <w:lang w:val="en-GB"/>
        </w:rPr>
        <w:t>price</w:t>
      </w:r>
      <w:r>
        <w:rPr>
          <w:sz w:val="22"/>
          <w:szCs w:val="22"/>
          <w:lang w:val="en-GB"/>
        </w:rPr>
        <w:t>).</w:t>
      </w:r>
    </w:p>
    <w:p w14:paraId="793B56EE" w14:textId="77777777" w:rsidR="006F5FD0" w:rsidRPr="00B33EE6" w:rsidRDefault="00000000" w:rsidP="00347E84">
      <w:pPr>
        <w:rPr>
          <w:sz w:val="22"/>
          <w:szCs w:val="22"/>
          <w:lang w:val="en-GB"/>
        </w:rPr>
      </w:pPr>
      <w:r>
        <w:rPr>
          <w:snapToGrid/>
          <w:sz w:val="22"/>
          <w:szCs w:val="22"/>
          <w:lang w:val="en-GB"/>
        </w:rPr>
        <w:pict w14:anchorId="45BE0657">
          <v:line id="_x0000_s2055" style="position:absolute;z-index:5" from="0,12pt" to="468pt,12.05pt" o:allowincell="f" strokecolor="#d4d4d4" strokeweight="1.75pt">
            <v:shadow on="t" origin=",32385f" offset="0,-1pt"/>
          </v:line>
        </w:pict>
      </w:r>
    </w:p>
    <w:p w14:paraId="7482CE23" w14:textId="77777777" w:rsidR="006F5FD0" w:rsidRPr="00B33EE6" w:rsidRDefault="00994EA3" w:rsidP="00347E84">
      <w:pPr>
        <w:keepNext/>
        <w:jc w:val="center"/>
        <w:rPr>
          <w:sz w:val="28"/>
          <w:szCs w:val="28"/>
          <w:lang w:val="en-GB"/>
        </w:rPr>
      </w:pPr>
      <w:r w:rsidRPr="00B33EE6">
        <w:rPr>
          <w:rStyle w:val="Strong"/>
          <w:sz w:val="28"/>
          <w:szCs w:val="28"/>
          <w:lang w:val="en-GB"/>
        </w:rPr>
        <w:t>TENDERING</w:t>
      </w:r>
    </w:p>
    <w:p w14:paraId="592B0149" w14:textId="212E2889" w:rsidR="006F5FD0" w:rsidRPr="00371C5B" w:rsidRDefault="00994EA3" w:rsidP="00371C5B">
      <w:pPr>
        <w:keepNext/>
        <w:widowControl/>
        <w:spacing w:before="240" w:after="120"/>
        <w:ind w:left="426" w:hanging="426"/>
        <w:outlineLvl w:val="0"/>
        <w:rPr>
          <w:rStyle w:val="Strong"/>
        </w:rPr>
      </w:pPr>
      <w:r w:rsidRPr="00B33EE6">
        <w:rPr>
          <w:rStyle w:val="Strong"/>
          <w:sz w:val="22"/>
          <w:szCs w:val="22"/>
          <w:lang w:val="en-GB"/>
        </w:rPr>
        <w:t>1</w:t>
      </w:r>
      <w:r w:rsidR="00033EFD">
        <w:rPr>
          <w:rStyle w:val="Strong"/>
          <w:sz w:val="22"/>
          <w:szCs w:val="22"/>
          <w:lang w:val="en-GB"/>
        </w:rPr>
        <w:t>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61DD2F00" w14:textId="4A39326E" w:rsidR="006F5FD0" w:rsidRPr="00B33EE6" w:rsidRDefault="00994EA3" w:rsidP="00371C5B">
      <w:pPr>
        <w:pStyle w:val="Blockquote"/>
        <w:spacing w:before="40" w:after="60"/>
        <w:ind w:left="425" w:right="0"/>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w:t>
      </w:r>
      <w:r w:rsidR="00132854" w:rsidRPr="006C326D">
        <w:rPr>
          <w:rStyle w:val="Emphasis"/>
          <w:i w:val="0"/>
          <w:sz w:val="22"/>
          <w:szCs w:val="22"/>
          <w:lang w:val="en-GB"/>
        </w:rPr>
        <w:t>0</w:t>
      </w:r>
      <w:r w:rsidR="003E237E">
        <w:rPr>
          <w:rStyle w:val="Emphasis"/>
          <w:i w:val="0"/>
          <w:sz w:val="22"/>
          <w:szCs w:val="22"/>
          <w:lang w:val="en-GB"/>
        </w:rPr>
        <w:t>8</w:t>
      </w:r>
      <w:r w:rsidR="00132854" w:rsidRPr="006C326D">
        <w:rPr>
          <w:rStyle w:val="Emphasis"/>
          <w:i w:val="0"/>
          <w:sz w:val="22"/>
          <w:szCs w:val="22"/>
          <w:lang w:val="en-GB"/>
        </w:rPr>
        <w:t>.09.2025</w:t>
      </w:r>
      <w:r w:rsidRPr="006C326D">
        <w:rPr>
          <w:rStyle w:val="Emphasis"/>
          <w:i w:val="0"/>
          <w:sz w:val="22"/>
          <w:szCs w:val="22"/>
          <w:lang w:val="en-GB"/>
        </w:rPr>
        <w:t>.</w:t>
      </w:r>
    </w:p>
    <w:p w14:paraId="7D60F8E6" w14:textId="62D49E53" w:rsidR="006F5FD0" w:rsidRPr="00371C5B" w:rsidRDefault="00994EA3" w:rsidP="00371C5B">
      <w:pPr>
        <w:keepNext/>
        <w:widowControl/>
        <w:spacing w:before="240" w:after="120"/>
        <w:ind w:left="426" w:hanging="426"/>
        <w:outlineLvl w:val="0"/>
        <w:rPr>
          <w:rStyle w:val="Strong"/>
        </w:rPr>
      </w:pPr>
      <w:r w:rsidRPr="00B33EE6">
        <w:rPr>
          <w:rStyle w:val="Strong"/>
          <w:sz w:val="22"/>
          <w:szCs w:val="22"/>
          <w:lang w:val="en-GB"/>
        </w:rPr>
        <w:lastRenderedPageBreak/>
        <w:t>1</w:t>
      </w:r>
      <w:r w:rsidR="00033EFD">
        <w:rPr>
          <w:rStyle w:val="Strong"/>
          <w:sz w:val="22"/>
          <w:szCs w:val="22"/>
          <w:lang w:val="en-GB"/>
        </w:rPr>
        <w:t>8</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0C3990F6" w14:textId="7F402B76" w:rsidR="006F5FD0" w:rsidRPr="00B33EE6" w:rsidRDefault="00994EA3" w:rsidP="00371C5B">
      <w:pPr>
        <w:pStyle w:val="Blockquote"/>
        <w:spacing w:before="40" w:after="60"/>
        <w:ind w:left="425" w:right="0"/>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771F85">
        <w:rPr>
          <w:rStyle w:val="Strong"/>
          <w:b w:val="0"/>
          <w:sz w:val="22"/>
          <w:szCs w:val="22"/>
          <w:lang w:val="en-GB"/>
        </w:rPr>
        <w:t>.</w:t>
      </w:r>
      <w:r w:rsidR="006F5FD0" w:rsidRPr="00B33EE6">
        <w:rPr>
          <w:sz w:val="22"/>
          <w:szCs w:val="22"/>
          <w:lang w:val="en-GB"/>
        </w:rPr>
        <w:t xml:space="preserve"> </w:t>
      </w:r>
    </w:p>
    <w:p w14:paraId="177AD528" w14:textId="77777777" w:rsidR="004D5EDB" w:rsidRPr="00B33EE6" w:rsidRDefault="004D5EDB" w:rsidP="00371C5B">
      <w:pPr>
        <w:pStyle w:val="Blockquote"/>
        <w:ind w:left="425" w:right="0"/>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E502450" w14:textId="11CACE45" w:rsidR="004D5EDB" w:rsidRPr="00886ED7" w:rsidRDefault="00886ED7" w:rsidP="00371C5B">
      <w:pPr>
        <w:pStyle w:val="Blockquote"/>
        <w:ind w:left="425" w:right="0"/>
        <w:jc w:val="both"/>
        <w:rPr>
          <w:sz w:val="22"/>
          <w:szCs w:val="22"/>
          <w:lang w:val="en-GB"/>
        </w:rPr>
      </w:pPr>
      <w:hyperlink r:id="rId8" w:anchor="Annexes-AnnexesA(Ch.2):General" w:history="1">
        <w:r w:rsidRPr="002E25ED">
          <w:rPr>
            <w:rStyle w:val="Hyperlink"/>
            <w:sz w:val="22"/>
            <w:szCs w:val="22"/>
            <w:lang w:val="en-GB"/>
          </w:rPr>
          <w:t>https://wikis.ec.europa.eu/display/ExactExternalWiki/Annexes#Annexes-AnnexesA(Ch.2):General</w:t>
        </w:r>
      </w:hyperlink>
    </w:p>
    <w:p w14:paraId="438E0786" w14:textId="77777777" w:rsidR="006F5FD0" w:rsidRPr="00B33EE6" w:rsidRDefault="006F5FD0" w:rsidP="00371C5B">
      <w:pPr>
        <w:pStyle w:val="Blockquote"/>
        <w:ind w:left="425" w:right="0"/>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40FAD56E" w:rsidR="006F5FD0" w:rsidRPr="00371C5B" w:rsidRDefault="00033EFD" w:rsidP="00371C5B">
      <w:pPr>
        <w:keepNext/>
        <w:widowControl/>
        <w:spacing w:before="240" w:after="120"/>
        <w:ind w:left="426" w:hanging="426"/>
        <w:outlineLvl w:val="0"/>
        <w:rPr>
          <w:rStyle w:val="Strong"/>
        </w:rPr>
      </w:pPr>
      <w:r>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How </w:t>
      </w:r>
      <w:r w:rsidR="006714ED" w:rsidRPr="00B33EE6">
        <w:rPr>
          <w:rStyle w:val="Strong"/>
          <w:sz w:val="22"/>
          <w:szCs w:val="22"/>
          <w:lang w:val="en-GB"/>
        </w:rPr>
        <w:t>tenders</w:t>
      </w:r>
      <w:r w:rsidR="006F5FD0" w:rsidRPr="00B33EE6">
        <w:rPr>
          <w:rStyle w:val="Strong"/>
          <w:sz w:val="22"/>
          <w:szCs w:val="22"/>
          <w:lang w:val="en-GB"/>
        </w:rPr>
        <w:t xml:space="preserve"> may be submitted</w:t>
      </w:r>
    </w:p>
    <w:p w14:paraId="7919897A" w14:textId="6CB53E63" w:rsidR="006F5FD0" w:rsidRPr="00B33EE6" w:rsidRDefault="006714ED" w:rsidP="00371C5B">
      <w:pPr>
        <w:pStyle w:val="Blockquote"/>
        <w:spacing w:before="40" w:after="120"/>
        <w:ind w:left="425" w:right="0"/>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w:t>
      </w:r>
      <w:r w:rsidR="00771F85">
        <w:rPr>
          <w:sz w:val="22"/>
          <w:szCs w:val="22"/>
          <w:lang w:val="en-GB"/>
        </w:rPr>
        <w:t>10</w:t>
      </w:r>
      <w:r w:rsidRPr="00B33EE6">
        <w:rPr>
          <w:sz w:val="22"/>
          <w:szCs w:val="22"/>
          <w:lang w:val="en-GB"/>
        </w:rPr>
        <w:t xml:space="preserve">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enderers.</w:t>
      </w:r>
    </w:p>
    <w:p w14:paraId="63BBF791" w14:textId="77777777" w:rsidR="00EF03C9" w:rsidRPr="00B33EE6" w:rsidRDefault="006714ED" w:rsidP="00371C5B">
      <w:pPr>
        <w:pStyle w:val="Blockquote"/>
        <w:spacing w:before="0" w:after="120"/>
        <w:ind w:left="425" w:right="0"/>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3D156565" w14:textId="2CED2608" w:rsidR="00502BBF" w:rsidRPr="00B33EE6" w:rsidRDefault="00502BBF" w:rsidP="00371C5B">
      <w:pPr>
        <w:pStyle w:val="Blockquote"/>
        <w:spacing w:before="40" w:after="120"/>
        <w:ind w:left="425" w:right="0"/>
        <w:jc w:val="both"/>
        <w:rPr>
          <w:rStyle w:val="Strong"/>
          <w:b w:val="0"/>
          <w:sz w:val="22"/>
          <w:szCs w:val="22"/>
          <w:lang w:val="en-GB"/>
        </w:rPr>
      </w:pPr>
      <w:r w:rsidRPr="00B33EE6">
        <w:rPr>
          <w:sz w:val="22"/>
          <w:szCs w:val="22"/>
          <w:lang w:val="en-GB"/>
        </w:rPr>
        <w:t>By submitting a tender</w:t>
      </w:r>
      <w:r w:rsidR="00DA388D">
        <w:rPr>
          <w:sz w:val="22"/>
          <w:szCs w:val="22"/>
          <w:lang w:val="en-GB"/>
        </w:rPr>
        <w:t>,</w:t>
      </w:r>
      <w:r w:rsidRPr="00B33EE6">
        <w:rPr>
          <w:sz w:val="22"/>
          <w:szCs w:val="22"/>
          <w:lang w:val="en-GB"/>
        </w:rPr>
        <w:t xml:space="preserve"> tenderers accept to receive notification of the outcome of the procedure by electronic means.</w:t>
      </w:r>
    </w:p>
    <w:p w14:paraId="78DFA6DC" w14:textId="002747CA" w:rsidR="003262FC" w:rsidRPr="00371C5B" w:rsidRDefault="003262FC" w:rsidP="00371C5B">
      <w:pPr>
        <w:keepNext/>
        <w:widowControl/>
        <w:spacing w:before="240" w:after="120"/>
        <w:ind w:left="426" w:hanging="426"/>
        <w:outlineLvl w:val="0"/>
        <w:rPr>
          <w:rStyle w:val="Strong"/>
        </w:rPr>
      </w:pPr>
      <w:r w:rsidRPr="00B33EE6">
        <w:rPr>
          <w:rStyle w:val="Strong"/>
          <w:sz w:val="22"/>
          <w:szCs w:val="22"/>
          <w:lang w:val="en-GB"/>
        </w:rPr>
        <w:t>2</w:t>
      </w:r>
      <w:r w:rsidR="00033EFD">
        <w:rPr>
          <w:rStyle w:val="Strong"/>
          <w:sz w:val="22"/>
          <w:szCs w:val="22"/>
          <w:lang w:val="en-GB"/>
        </w:rPr>
        <w:t>0</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371C5B">
      <w:pPr>
        <w:pStyle w:val="Blockquote"/>
        <w:spacing w:before="40" w:after="120"/>
        <w:ind w:left="425" w:right="0"/>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36DD3BEA" w:rsidR="003262FC" w:rsidRPr="00B33EE6" w:rsidRDefault="003262FC" w:rsidP="00371C5B">
      <w:pPr>
        <w:pStyle w:val="Blockquote"/>
        <w:spacing w:before="0" w:after="120"/>
        <w:ind w:left="425" w:right="0"/>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771F85">
        <w:rPr>
          <w:sz w:val="22"/>
          <w:szCs w:val="22"/>
          <w:lang w:val="en-GB"/>
        </w:rPr>
        <w:t>15</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DF9D28B" w:rsidR="006F5FD0" w:rsidRPr="00371C5B" w:rsidRDefault="003262FC" w:rsidP="00371C5B">
      <w:pPr>
        <w:keepNext/>
        <w:widowControl/>
        <w:spacing w:before="240" w:after="120"/>
        <w:ind w:left="426" w:hanging="426"/>
        <w:outlineLvl w:val="0"/>
        <w:rPr>
          <w:rStyle w:val="Strong"/>
        </w:rPr>
      </w:pPr>
      <w:r w:rsidRPr="00B33EE6">
        <w:rPr>
          <w:rStyle w:val="Strong"/>
          <w:sz w:val="22"/>
          <w:szCs w:val="22"/>
          <w:lang w:val="en-GB"/>
        </w:rPr>
        <w:t>2</w:t>
      </w:r>
      <w:r w:rsidR="00033EFD">
        <w:rPr>
          <w:rStyle w:val="Strong"/>
          <w:sz w:val="22"/>
          <w:szCs w:val="22"/>
          <w:lang w:val="en-GB"/>
        </w:rPr>
        <w:t>1</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77777777" w:rsidR="006F5FD0" w:rsidRPr="00B33EE6" w:rsidRDefault="006F5FD0" w:rsidP="00371C5B">
      <w:pPr>
        <w:pStyle w:val="Blockquote"/>
        <w:spacing w:before="40" w:after="120"/>
        <w:ind w:left="425" w:right="0"/>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38DC66B2" w14:textId="7F95E190" w:rsidR="00E9047D" w:rsidRPr="00371C5B" w:rsidRDefault="00326B16" w:rsidP="00371C5B">
      <w:pPr>
        <w:keepNext/>
        <w:widowControl/>
        <w:spacing w:before="240" w:after="120"/>
        <w:ind w:left="426" w:hanging="426"/>
        <w:outlineLvl w:val="0"/>
        <w:rPr>
          <w:rStyle w:val="Strong"/>
        </w:rPr>
      </w:pPr>
      <w:r w:rsidRPr="00371C5B">
        <w:rPr>
          <w:rStyle w:val="Strong"/>
        </w:rPr>
        <w:t>2</w:t>
      </w:r>
      <w:r w:rsidR="00033EFD">
        <w:rPr>
          <w:rStyle w:val="Strong"/>
        </w:rPr>
        <w:t>2</w:t>
      </w:r>
      <w:r w:rsidR="008272C0" w:rsidRPr="00371C5B">
        <w:rPr>
          <w:rStyle w:val="Strong"/>
        </w:rPr>
        <w:t>.</w:t>
      </w:r>
      <w:r w:rsidR="00FD5083">
        <w:rPr>
          <w:rStyle w:val="Strong"/>
        </w:rPr>
        <w:tab/>
      </w:r>
      <w:r w:rsidR="00E9047D" w:rsidRPr="00371C5B">
        <w:rPr>
          <w:rStyle w:val="Strong"/>
        </w:rPr>
        <w:t>Additional information</w:t>
      </w:r>
    </w:p>
    <w:p w14:paraId="7A5C8404" w14:textId="73124819" w:rsidR="00AF412E" w:rsidRPr="008660AD" w:rsidRDefault="00AF412E" w:rsidP="00371C5B">
      <w:pPr>
        <w:widowControl/>
        <w:snapToGrid w:val="0"/>
        <w:spacing w:after="120"/>
        <w:ind w:left="425"/>
        <w:jc w:val="both"/>
        <w:rPr>
          <w:sz w:val="22"/>
          <w:szCs w:val="22"/>
          <w:lang w:val="en-GB"/>
        </w:rPr>
      </w:pPr>
      <w:r w:rsidRPr="008660AD">
        <w:rPr>
          <w:sz w:val="22"/>
          <w:szCs w:val="22"/>
          <w:lang w:val="en-GB"/>
        </w:rPr>
        <w:t xml:space="preserve">Financial data to be provided by the candidate in the standard application </w:t>
      </w:r>
      <w:r w:rsidR="000C05E9" w:rsidRPr="008660AD">
        <w:rPr>
          <w:sz w:val="22"/>
          <w:szCs w:val="22"/>
          <w:lang w:val="en-GB"/>
        </w:rPr>
        <w:t>form must</w:t>
      </w:r>
      <w:r w:rsidRPr="008660AD">
        <w:rPr>
          <w:sz w:val="22"/>
          <w:szCs w:val="22"/>
          <w:lang w:val="en-GB"/>
        </w:rPr>
        <w:t xml:space="preserve"> be expressed in </w:t>
      </w:r>
      <w:r w:rsidRPr="004D1EC7">
        <w:rPr>
          <w:sz w:val="22"/>
          <w:szCs w:val="22"/>
          <w:lang w:val="en-GB"/>
        </w:rPr>
        <w:t>EUR</w:t>
      </w:r>
    </w:p>
    <w:p w14:paraId="2AC4BD41" w14:textId="5FD6B201" w:rsidR="007F6AA9" w:rsidRPr="00F9055E" w:rsidRDefault="00033EFD" w:rsidP="00371C5B">
      <w:pPr>
        <w:pStyle w:val="Blockquote"/>
        <w:spacing w:before="480"/>
        <w:ind w:left="357" w:right="357"/>
        <w:jc w:val="center"/>
        <w:rPr>
          <w:sz w:val="22"/>
          <w:szCs w:val="22"/>
          <w:lang w:val="en-GB"/>
        </w:rPr>
      </w:pPr>
      <w:r>
        <w:rPr>
          <w:sz w:val="22"/>
          <w:szCs w:val="22"/>
          <w:lang w:val="en-GB"/>
        </w:rPr>
        <w:t>* * *</w:t>
      </w:r>
    </w:p>
    <w:sectPr w:rsidR="007F6AA9" w:rsidRPr="00F9055E" w:rsidSect="00E147D3">
      <w:headerReference w:type="default" r:id="rId9"/>
      <w:footerReference w:type="default" r:id="rId10"/>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2A60E" w14:textId="77777777" w:rsidR="006E2108" w:rsidRDefault="006E2108">
      <w:r>
        <w:separator/>
      </w:r>
    </w:p>
  </w:endnote>
  <w:endnote w:type="continuationSeparator" w:id="0">
    <w:p w14:paraId="47B02E15" w14:textId="77777777" w:rsidR="006E2108" w:rsidRDefault="006E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BA12" w14:textId="292A5E0F" w:rsidR="00EF0A8C" w:rsidRPr="00B33EE6" w:rsidRDefault="00FD5083" w:rsidP="00F9055E">
    <w:pPr>
      <w:pStyle w:val="Footer"/>
      <w:tabs>
        <w:tab w:val="clear" w:pos="4320"/>
        <w:tab w:val="clear" w:pos="8640"/>
        <w:tab w:val="right" w:pos="9214"/>
      </w:tabs>
      <w:spacing w:before="120" w:after="0"/>
      <w:rPr>
        <w:b/>
        <w:sz w:val="20"/>
        <w:lang w:val="en-GB"/>
      </w:rPr>
    </w:pPr>
    <w:r>
      <w:rPr>
        <w:b/>
        <w:sz w:val="20"/>
      </w:rPr>
      <w:t>202</w:t>
    </w:r>
    <w:r w:rsidR="00C640A4">
      <w:rPr>
        <w:b/>
        <w:sz w:val="20"/>
      </w:rPr>
      <w:t>5</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2E25ED">
      <w:rPr>
        <w:rStyle w:val="PageNumber"/>
        <w:noProof/>
        <w:sz w:val="18"/>
        <w:szCs w:val="18"/>
        <w:lang w:val="en-GB"/>
      </w:rPr>
      <w:t>1</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2E25ED">
      <w:rPr>
        <w:rStyle w:val="PageNumber"/>
        <w:noProof/>
        <w:sz w:val="18"/>
        <w:szCs w:val="18"/>
        <w:lang w:val="en-GB"/>
      </w:rPr>
      <w:t>8</w:t>
    </w:r>
    <w:r w:rsidR="00B33EE6" w:rsidRPr="00B33EE6">
      <w:rPr>
        <w:rStyle w:val="PageNumber"/>
        <w:sz w:val="18"/>
        <w:szCs w:val="18"/>
        <w:lang w:val="en-GB"/>
      </w:rPr>
      <w:fldChar w:fldCharType="end"/>
    </w:r>
  </w:p>
  <w:p w14:paraId="77551F46" w14:textId="2A0EDC76" w:rsidR="00EF0A8C" w:rsidRPr="00B33EE6" w:rsidRDefault="00FD5083" w:rsidP="00FD5083">
    <w:pPr>
      <w:pStyle w:val="Footer"/>
      <w:spacing w:before="0" w:after="0"/>
      <w:rPr>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C640A4">
      <w:rPr>
        <w:noProof/>
        <w:sz w:val="18"/>
        <w:szCs w:val="18"/>
        <w:lang w:val="en-GB"/>
      </w:rPr>
      <w:t>c2_contractnotice_simp_neg_en.docx</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4800B" w14:textId="77777777" w:rsidR="006E2108" w:rsidRDefault="006E2108">
      <w:r>
        <w:separator/>
      </w:r>
    </w:p>
  </w:footnote>
  <w:footnote w:type="continuationSeparator" w:id="0">
    <w:p w14:paraId="5A771280" w14:textId="77777777" w:rsidR="006E2108" w:rsidRDefault="006E2108">
      <w:r>
        <w:continuationSeparator/>
      </w:r>
    </w:p>
  </w:footnote>
  <w:footnote w:id="1">
    <w:p w14:paraId="1AF8407E" w14:textId="3551235F" w:rsidR="000B14E4" w:rsidRPr="000B14E4" w:rsidRDefault="000B14E4" w:rsidP="00371C5B">
      <w:pPr>
        <w:pStyle w:val="FootnoteText"/>
        <w:spacing w:before="0" w:after="0"/>
        <w:ind w:left="142" w:hanging="142"/>
      </w:pPr>
      <w:r>
        <w:rPr>
          <w:rStyle w:val="FootnoteReference"/>
        </w:rPr>
        <w:footnoteRef/>
      </w:r>
      <w:r w:rsidR="002845CD">
        <w:tab/>
      </w:r>
      <w:r w:rsidR="009E5C83">
        <w:t>Regulation (EU) 2021/1529 of the European Parliament and of the Council of 15 September 2021 establishing the Instrument for Pre-Accession assistance (IPA III); OJ L 330, 20.9.2021, p. 1</w:t>
      </w:r>
      <w:r w:rsidR="009E5C83" w:rsidRPr="003D2CB4">
        <w:t>–</w:t>
      </w:r>
      <w:r w:rsidR="009E5C83">
        <w:t>26</w:t>
      </w:r>
      <w:r w:rsidR="009E5C83">
        <w:rPr>
          <w:lang w:val="en-GB"/>
        </w:rPr>
        <w:t>.</w:t>
      </w:r>
    </w:p>
  </w:footnote>
  <w:footnote w:id="2">
    <w:p w14:paraId="0AE5234C" w14:textId="090A2C47" w:rsidR="00F06A6A" w:rsidRPr="00371C5B" w:rsidRDefault="00F06A6A" w:rsidP="00371C5B">
      <w:pPr>
        <w:pStyle w:val="FootnoteText"/>
        <w:ind w:left="284" w:hanging="284"/>
        <w:jc w:val="both"/>
        <w:rPr>
          <w:lang w:val="en-IE"/>
        </w:rPr>
      </w:pPr>
      <w:r>
        <w:rPr>
          <w:rStyle w:val="FootnoteReference"/>
        </w:rPr>
        <w:footnoteRef/>
      </w:r>
      <w:r w:rsidR="004563EB">
        <w:tab/>
      </w:r>
      <w:r w:rsidRPr="005C423F">
        <w:rPr>
          <w:sz w:val="18"/>
          <w:szCs w:val="18"/>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rPr>
          <w:t>EU Sanctions Map</w:t>
        </w:r>
      </w:hyperlink>
      <w:r w:rsidRPr="005C423F">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8DED" w14:textId="77777777" w:rsidR="00601211" w:rsidRPr="00601211" w:rsidRDefault="00000000" w:rsidP="00601211">
    <w:pPr>
      <w:pStyle w:val="Header"/>
    </w:pPr>
    <w:bookmarkStart w:id="16" w:name="_Hlk194311902"/>
    <w:r>
      <w:pict w14:anchorId="5DC6E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black background with blue text&#10;&#10;Description automatically generated" style="width:312pt;height:50.25pt;visibility:visible;mso-wrap-style:square">
          <v:imagedata r:id="rId1" o:title="A black background with blue text&#10;&#10;Description automatically generated"/>
        </v:shape>
      </w:pict>
    </w:r>
    <w:bookmarkEnd w:id="16"/>
  </w:p>
  <w:p w14:paraId="45CA43FC" w14:textId="77777777" w:rsidR="00371C5B" w:rsidRDefault="0037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9180DEE"/>
    <w:multiLevelType w:val="hybridMultilevel"/>
    <w:tmpl w:val="47DC1B2E"/>
    <w:lvl w:ilvl="0" w:tplc="0B56368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8"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43229FF"/>
    <w:multiLevelType w:val="hybridMultilevel"/>
    <w:tmpl w:val="AA7020A6"/>
    <w:lvl w:ilvl="0" w:tplc="9F203DA8">
      <w:start w:val="2"/>
      <w:numFmt w:val="bullet"/>
      <w:lvlText w:val=""/>
      <w:lvlJc w:val="left"/>
      <w:pPr>
        <w:ind w:left="785" w:hanging="360"/>
      </w:pPr>
      <w:rPr>
        <w:rFonts w:ascii="Symbol" w:eastAsia="Times New Roman" w:hAnsi="Symbol"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16cid:durableId="364714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46932769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573628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60538617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33307679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2254559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90715454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152751817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5520600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772483209">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153041134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28554959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489905446">
    <w:abstractNumId w:val="17"/>
  </w:num>
  <w:num w:numId="14" w16cid:durableId="900941718">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488911817">
    <w:abstractNumId w:val="13"/>
  </w:num>
  <w:num w:numId="16" w16cid:durableId="1487865913">
    <w:abstractNumId w:val="15"/>
  </w:num>
  <w:num w:numId="17" w16cid:durableId="149881319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2041082875">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1390300068">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1217281276">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108479190">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1116943191">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592323818">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882597602">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375207154">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1150170389">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561257859">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430275874">
    <w:abstractNumId w:val="27"/>
  </w:num>
  <w:num w:numId="29" w16cid:durableId="1988319320">
    <w:abstractNumId w:val="27"/>
  </w:num>
  <w:num w:numId="30" w16cid:durableId="703988421">
    <w:abstractNumId w:val="27"/>
  </w:num>
  <w:num w:numId="31" w16cid:durableId="1100031049">
    <w:abstractNumId w:val="27"/>
  </w:num>
  <w:num w:numId="32" w16cid:durableId="1046174258">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1710451612">
    <w:abstractNumId w:val="37"/>
  </w:num>
  <w:num w:numId="34" w16cid:durableId="109445180">
    <w:abstractNumId w:val="42"/>
  </w:num>
  <w:num w:numId="35" w16cid:durableId="1194658249">
    <w:abstractNumId w:val="36"/>
  </w:num>
  <w:num w:numId="36" w16cid:durableId="504172728">
    <w:abstractNumId w:val="33"/>
  </w:num>
  <w:num w:numId="37" w16cid:durableId="1419789896">
    <w:abstractNumId w:val="38"/>
  </w:num>
  <w:num w:numId="38" w16cid:durableId="903875536">
    <w:abstractNumId w:val="40"/>
  </w:num>
  <w:num w:numId="39" w16cid:durableId="819006310">
    <w:abstractNumId w:val="44"/>
  </w:num>
  <w:num w:numId="40" w16cid:durableId="808743279">
    <w:abstractNumId w:val="46"/>
  </w:num>
  <w:num w:numId="41" w16cid:durableId="2073497912">
    <w:abstractNumId w:val="41"/>
  </w:num>
  <w:num w:numId="42" w16cid:durableId="2004434630">
    <w:abstractNumId w:val="43"/>
  </w:num>
  <w:num w:numId="43" w16cid:durableId="515850950">
    <w:abstractNumId w:val="39"/>
  </w:num>
  <w:num w:numId="44" w16cid:durableId="1728451762">
    <w:abstractNumId w:val="35"/>
  </w:num>
  <w:num w:numId="45" w16cid:durableId="799767343">
    <w:abstractNumId w:val="47"/>
  </w:num>
  <w:num w:numId="46" w16cid:durableId="725684534">
    <w:abstractNumId w:val="34"/>
  </w:num>
  <w:num w:numId="47" w16cid:durableId="67253719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33EFD"/>
    <w:rsid w:val="00050BCD"/>
    <w:rsid w:val="00051D1D"/>
    <w:rsid w:val="00063FB5"/>
    <w:rsid w:val="0007067C"/>
    <w:rsid w:val="00080900"/>
    <w:rsid w:val="00087A72"/>
    <w:rsid w:val="00095030"/>
    <w:rsid w:val="000A0D57"/>
    <w:rsid w:val="000A3758"/>
    <w:rsid w:val="000B0576"/>
    <w:rsid w:val="000B14E4"/>
    <w:rsid w:val="000B693E"/>
    <w:rsid w:val="000B7C91"/>
    <w:rsid w:val="000C05E9"/>
    <w:rsid w:val="000C1101"/>
    <w:rsid w:val="000C1522"/>
    <w:rsid w:val="000D1732"/>
    <w:rsid w:val="000D3EBF"/>
    <w:rsid w:val="000E4709"/>
    <w:rsid w:val="000F0F6C"/>
    <w:rsid w:val="000F1340"/>
    <w:rsid w:val="000F5DEF"/>
    <w:rsid w:val="0010162C"/>
    <w:rsid w:val="00105302"/>
    <w:rsid w:val="00132854"/>
    <w:rsid w:val="0013314C"/>
    <w:rsid w:val="001429BC"/>
    <w:rsid w:val="0014405E"/>
    <w:rsid w:val="00145CFA"/>
    <w:rsid w:val="00150687"/>
    <w:rsid w:val="0015440B"/>
    <w:rsid w:val="001661F7"/>
    <w:rsid w:val="00171F2E"/>
    <w:rsid w:val="00172785"/>
    <w:rsid w:val="00180D47"/>
    <w:rsid w:val="001903F3"/>
    <w:rsid w:val="001951FE"/>
    <w:rsid w:val="001A59BB"/>
    <w:rsid w:val="001A66C2"/>
    <w:rsid w:val="001B2571"/>
    <w:rsid w:val="001C21A2"/>
    <w:rsid w:val="001C64F1"/>
    <w:rsid w:val="001D19A6"/>
    <w:rsid w:val="001D55F7"/>
    <w:rsid w:val="001D7B2B"/>
    <w:rsid w:val="001E50A2"/>
    <w:rsid w:val="001F0839"/>
    <w:rsid w:val="001F1546"/>
    <w:rsid w:val="001F780C"/>
    <w:rsid w:val="00201320"/>
    <w:rsid w:val="002065E9"/>
    <w:rsid w:val="0020739B"/>
    <w:rsid w:val="002078BB"/>
    <w:rsid w:val="00212656"/>
    <w:rsid w:val="00213E14"/>
    <w:rsid w:val="00216179"/>
    <w:rsid w:val="00226829"/>
    <w:rsid w:val="00230BBC"/>
    <w:rsid w:val="00233B9D"/>
    <w:rsid w:val="00233DDA"/>
    <w:rsid w:val="00235A71"/>
    <w:rsid w:val="002413EA"/>
    <w:rsid w:val="00243849"/>
    <w:rsid w:val="002575AA"/>
    <w:rsid w:val="00266EB9"/>
    <w:rsid w:val="002753AD"/>
    <w:rsid w:val="002845CD"/>
    <w:rsid w:val="00287536"/>
    <w:rsid w:val="002B2145"/>
    <w:rsid w:val="002B4C22"/>
    <w:rsid w:val="002D266E"/>
    <w:rsid w:val="002D4121"/>
    <w:rsid w:val="002E1B83"/>
    <w:rsid w:val="002E25ED"/>
    <w:rsid w:val="002E2635"/>
    <w:rsid w:val="002E7D33"/>
    <w:rsid w:val="002F4E69"/>
    <w:rsid w:val="003045C3"/>
    <w:rsid w:val="00313F6B"/>
    <w:rsid w:val="003150A2"/>
    <w:rsid w:val="00322D52"/>
    <w:rsid w:val="003232ED"/>
    <w:rsid w:val="00323BDD"/>
    <w:rsid w:val="003262FC"/>
    <w:rsid w:val="00326B16"/>
    <w:rsid w:val="00330261"/>
    <w:rsid w:val="003378F6"/>
    <w:rsid w:val="00342E7F"/>
    <w:rsid w:val="00347673"/>
    <w:rsid w:val="00347E84"/>
    <w:rsid w:val="003574F5"/>
    <w:rsid w:val="00357E25"/>
    <w:rsid w:val="00362824"/>
    <w:rsid w:val="00363ECB"/>
    <w:rsid w:val="00364564"/>
    <w:rsid w:val="003670BA"/>
    <w:rsid w:val="003717BC"/>
    <w:rsid w:val="00371C5B"/>
    <w:rsid w:val="003861D9"/>
    <w:rsid w:val="0038633F"/>
    <w:rsid w:val="00386E96"/>
    <w:rsid w:val="0038796E"/>
    <w:rsid w:val="0039040A"/>
    <w:rsid w:val="0039147E"/>
    <w:rsid w:val="00391D5F"/>
    <w:rsid w:val="0039347D"/>
    <w:rsid w:val="003947E7"/>
    <w:rsid w:val="00397073"/>
    <w:rsid w:val="003A4357"/>
    <w:rsid w:val="003B1B35"/>
    <w:rsid w:val="003B2C6C"/>
    <w:rsid w:val="003C1515"/>
    <w:rsid w:val="003D16FB"/>
    <w:rsid w:val="003D6CAD"/>
    <w:rsid w:val="003E237E"/>
    <w:rsid w:val="003E782D"/>
    <w:rsid w:val="0040360C"/>
    <w:rsid w:val="004108A4"/>
    <w:rsid w:val="00410F45"/>
    <w:rsid w:val="00424124"/>
    <w:rsid w:val="004300E9"/>
    <w:rsid w:val="0043533D"/>
    <w:rsid w:val="00452ED8"/>
    <w:rsid w:val="0045494F"/>
    <w:rsid w:val="004563EB"/>
    <w:rsid w:val="004567DF"/>
    <w:rsid w:val="00466A42"/>
    <w:rsid w:val="00472630"/>
    <w:rsid w:val="00473883"/>
    <w:rsid w:val="00476D80"/>
    <w:rsid w:val="00480B5C"/>
    <w:rsid w:val="00480C87"/>
    <w:rsid w:val="004850B4"/>
    <w:rsid w:val="004901C2"/>
    <w:rsid w:val="004957E5"/>
    <w:rsid w:val="004C21CC"/>
    <w:rsid w:val="004C49B2"/>
    <w:rsid w:val="004D031B"/>
    <w:rsid w:val="004D1EC7"/>
    <w:rsid w:val="004D277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34552"/>
    <w:rsid w:val="0054183B"/>
    <w:rsid w:val="005462B4"/>
    <w:rsid w:val="00551429"/>
    <w:rsid w:val="00553C32"/>
    <w:rsid w:val="0056183E"/>
    <w:rsid w:val="005635F3"/>
    <w:rsid w:val="005639EC"/>
    <w:rsid w:val="00565A69"/>
    <w:rsid w:val="00571687"/>
    <w:rsid w:val="00572F15"/>
    <w:rsid w:val="00573F7A"/>
    <w:rsid w:val="00584BF4"/>
    <w:rsid w:val="00584D96"/>
    <w:rsid w:val="00590ADB"/>
    <w:rsid w:val="005963E2"/>
    <w:rsid w:val="005A21DC"/>
    <w:rsid w:val="005B35A2"/>
    <w:rsid w:val="005B4F80"/>
    <w:rsid w:val="005B5E3C"/>
    <w:rsid w:val="005C71EF"/>
    <w:rsid w:val="005D41DD"/>
    <w:rsid w:val="005F0AF0"/>
    <w:rsid w:val="005F776D"/>
    <w:rsid w:val="00601211"/>
    <w:rsid w:val="0060359F"/>
    <w:rsid w:val="0061336A"/>
    <w:rsid w:val="006277AA"/>
    <w:rsid w:val="006309DE"/>
    <w:rsid w:val="00632BDC"/>
    <w:rsid w:val="0064390B"/>
    <w:rsid w:val="00646653"/>
    <w:rsid w:val="00663C6D"/>
    <w:rsid w:val="006714ED"/>
    <w:rsid w:val="006738B9"/>
    <w:rsid w:val="00674F9C"/>
    <w:rsid w:val="006751D2"/>
    <w:rsid w:val="006770CA"/>
    <w:rsid w:val="00686C3A"/>
    <w:rsid w:val="00697805"/>
    <w:rsid w:val="00697996"/>
    <w:rsid w:val="00697F82"/>
    <w:rsid w:val="006A0598"/>
    <w:rsid w:val="006A66DA"/>
    <w:rsid w:val="006A7394"/>
    <w:rsid w:val="006B2EDA"/>
    <w:rsid w:val="006B59B9"/>
    <w:rsid w:val="006C0EB6"/>
    <w:rsid w:val="006C0F37"/>
    <w:rsid w:val="006C2024"/>
    <w:rsid w:val="006C326D"/>
    <w:rsid w:val="006D330F"/>
    <w:rsid w:val="006D6080"/>
    <w:rsid w:val="006E2108"/>
    <w:rsid w:val="006E3377"/>
    <w:rsid w:val="006E625F"/>
    <w:rsid w:val="006F5FD0"/>
    <w:rsid w:val="006F7885"/>
    <w:rsid w:val="007046C8"/>
    <w:rsid w:val="00706E7C"/>
    <w:rsid w:val="00710A38"/>
    <w:rsid w:val="00711A01"/>
    <w:rsid w:val="007121FB"/>
    <w:rsid w:val="007129D6"/>
    <w:rsid w:val="00712CB3"/>
    <w:rsid w:val="00715755"/>
    <w:rsid w:val="00730668"/>
    <w:rsid w:val="00741529"/>
    <w:rsid w:val="0074334C"/>
    <w:rsid w:val="007471C5"/>
    <w:rsid w:val="00750FF8"/>
    <w:rsid w:val="00753FC2"/>
    <w:rsid w:val="00756C38"/>
    <w:rsid w:val="00761673"/>
    <w:rsid w:val="00761893"/>
    <w:rsid w:val="007653F4"/>
    <w:rsid w:val="00770822"/>
    <w:rsid w:val="00771F85"/>
    <w:rsid w:val="00771F97"/>
    <w:rsid w:val="007727F3"/>
    <w:rsid w:val="00780EAB"/>
    <w:rsid w:val="00781603"/>
    <w:rsid w:val="007874C8"/>
    <w:rsid w:val="00787BB5"/>
    <w:rsid w:val="00794A92"/>
    <w:rsid w:val="00796976"/>
    <w:rsid w:val="00796CC5"/>
    <w:rsid w:val="007A04AC"/>
    <w:rsid w:val="007A4037"/>
    <w:rsid w:val="007C352C"/>
    <w:rsid w:val="007D24C4"/>
    <w:rsid w:val="007D51F2"/>
    <w:rsid w:val="007D6292"/>
    <w:rsid w:val="007D761E"/>
    <w:rsid w:val="007F095B"/>
    <w:rsid w:val="007F26E3"/>
    <w:rsid w:val="007F5383"/>
    <w:rsid w:val="007F6AA9"/>
    <w:rsid w:val="008006B4"/>
    <w:rsid w:val="00800827"/>
    <w:rsid w:val="00804611"/>
    <w:rsid w:val="00810582"/>
    <w:rsid w:val="00813A48"/>
    <w:rsid w:val="008152EF"/>
    <w:rsid w:val="008162F6"/>
    <w:rsid w:val="00817895"/>
    <w:rsid w:val="00817B4A"/>
    <w:rsid w:val="00820CDB"/>
    <w:rsid w:val="008272C0"/>
    <w:rsid w:val="00831982"/>
    <w:rsid w:val="008323D3"/>
    <w:rsid w:val="008351FF"/>
    <w:rsid w:val="00846F87"/>
    <w:rsid w:val="00862885"/>
    <w:rsid w:val="008660AD"/>
    <w:rsid w:val="0087086B"/>
    <w:rsid w:val="00870FC9"/>
    <w:rsid w:val="00881C2D"/>
    <w:rsid w:val="00886ED7"/>
    <w:rsid w:val="00894E29"/>
    <w:rsid w:val="0089693D"/>
    <w:rsid w:val="008A1184"/>
    <w:rsid w:val="008A1514"/>
    <w:rsid w:val="008B036D"/>
    <w:rsid w:val="008B0830"/>
    <w:rsid w:val="008B77CD"/>
    <w:rsid w:val="008C3178"/>
    <w:rsid w:val="008C68A0"/>
    <w:rsid w:val="008D1243"/>
    <w:rsid w:val="008D3E45"/>
    <w:rsid w:val="008D4641"/>
    <w:rsid w:val="008E13D5"/>
    <w:rsid w:val="008E2D12"/>
    <w:rsid w:val="008F294D"/>
    <w:rsid w:val="009017AA"/>
    <w:rsid w:val="009055F3"/>
    <w:rsid w:val="0090581D"/>
    <w:rsid w:val="009066B6"/>
    <w:rsid w:val="00907556"/>
    <w:rsid w:val="00913817"/>
    <w:rsid w:val="0092504E"/>
    <w:rsid w:val="00925F7F"/>
    <w:rsid w:val="009260B8"/>
    <w:rsid w:val="0092731B"/>
    <w:rsid w:val="009317C0"/>
    <w:rsid w:val="009352F4"/>
    <w:rsid w:val="00940E1D"/>
    <w:rsid w:val="009510CB"/>
    <w:rsid w:val="00952960"/>
    <w:rsid w:val="00954FB8"/>
    <w:rsid w:val="00956BA0"/>
    <w:rsid w:val="0096032B"/>
    <w:rsid w:val="009707C4"/>
    <w:rsid w:val="00970A93"/>
    <w:rsid w:val="00970B01"/>
    <w:rsid w:val="00971962"/>
    <w:rsid w:val="00971CC5"/>
    <w:rsid w:val="00980AEA"/>
    <w:rsid w:val="00991002"/>
    <w:rsid w:val="00994EA3"/>
    <w:rsid w:val="009A38DE"/>
    <w:rsid w:val="009B06B5"/>
    <w:rsid w:val="009B5369"/>
    <w:rsid w:val="009B69BE"/>
    <w:rsid w:val="009E5BC1"/>
    <w:rsid w:val="009E5C83"/>
    <w:rsid w:val="009F0852"/>
    <w:rsid w:val="009F128B"/>
    <w:rsid w:val="009F5FB4"/>
    <w:rsid w:val="00A00BD5"/>
    <w:rsid w:val="00A021B5"/>
    <w:rsid w:val="00A02E6B"/>
    <w:rsid w:val="00A03055"/>
    <w:rsid w:val="00A046E7"/>
    <w:rsid w:val="00A04B00"/>
    <w:rsid w:val="00A11931"/>
    <w:rsid w:val="00A171EA"/>
    <w:rsid w:val="00A22177"/>
    <w:rsid w:val="00A236A4"/>
    <w:rsid w:val="00A303E4"/>
    <w:rsid w:val="00A35081"/>
    <w:rsid w:val="00A36F1C"/>
    <w:rsid w:val="00A433A6"/>
    <w:rsid w:val="00A43E7A"/>
    <w:rsid w:val="00A46ED3"/>
    <w:rsid w:val="00A504E1"/>
    <w:rsid w:val="00A609E7"/>
    <w:rsid w:val="00A666EC"/>
    <w:rsid w:val="00A72359"/>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E0C88"/>
    <w:rsid w:val="00AE1D8D"/>
    <w:rsid w:val="00AE4633"/>
    <w:rsid w:val="00AE6A5B"/>
    <w:rsid w:val="00AF0B6B"/>
    <w:rsid w:val="00AF412E"/>
    <w:rsid w:val="00AF7BB3"/>
    <w:rsid w:val="00B00363"/>
    <w:rsid w:val="00B063F9"/>
    <w:rsid w:val="00B06D60"/>
    <w:rsid w:val="00B112A1"/>
    <w:rsid w:val="00B14398"/>
    <w:rsid w:val="00B200AF"/>
    <w:rsid w:val="00B27B8B"/>
    <w:rsid w:val="00B336EF"/>
    <w:rsid w:val="00B33EE6"/>
    <w:rsid w:val="00B464BC"/>
    <w:rsid w:val="00B46840"/>
    <w:rsid w:val="00B503CB"/>
    <w:rsid w:val="00B50F8D"/>
    <w:rsid w:val="00B60EC5"/>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5A17"/>
    <w:rsid w:val="00C171B6"/>
    <w:rsid w:val="00C2011B"/>
    <w:rsid w:val="00C2062A"/>
    <w:rsid w:val="00C25EF9"/>
    <w:rsid w:val="00C30183"/>
    <w:rsid w:val="00C316FC"/>
    <w:rsid w:val="00C3644F"/>
    <w:rsid w:val="00C36666"/>
    <w:rsid w:val="00C43AAC"/>
    <w:rsid w:val="00C460D8"/>
    <w:rsid w:val="00C52B1A"/>
    <w:rsid w:val="00C5322B"/>
    <w:rsid w:val="00C61B8C"/>
    <w:rsid w:val="00C640A4"/>
    <w:rsid w:val="00C712DE"/>
    <w:rsid w:val="00C836E5"/>
    <w:rsid w:val="00C83C65"/>
    <w:rsid w:val="00C840D0"/>
    <w:rsid w:val="00C843AC"/>
    <w:rsid w:val="00C867B9"/>
    <w:rsid w:val="00CA3B1B"/>
    <w:rsid w:val="00CB23E3"/>
    <w:rsid w:val="00CB2A5B"/>
    <w:rsid w:val="00CB759D"/>
    <w:rsid w:val="00CB7AAE"/>
    <w:rsid w:val="00CC0A41"/>
    <w:rsid w:val="00CC3BA0"/>
    <w:rsid w:val="00CC48C9"/>
    <w:rsid w:val="00CD100C"/>
    <w:rsid w:val="00CD765A"/>
    <w:rsid w:val="00CE49A1"/>
    <w:rsid w:val="00CF759C"/>
    <w:rsid w:val="00D00216"/>
    <w:rsid w:val="00D011CD"/>
    <w:rsid w:val="00D06A30"/>
    <w:rsid w:val="00D14A9D"/>
    <w:rsid w:val="00D17A30"/>
    <w:rsid w:val="00D225CC"/>
    <w:rsid w:val="00D22682"/>
    <w:rsid w:val="00D240C3"/>
    <w:rsid w:val="00D2786B"/>
    <w:rsid w:val="00D32849"/>
    <w:rsid w:val="00D33DD9"/>
    <w:rsid w:val="00D434A7"/>
    <w:rsid w:val="00D46724"/>
    <w:rsid w:val="00D477AA"/>
    <w:rsid w:val="00D517A4"/>
    <w:rsid w:val="00D51C7E"/>
    <w:rsid w:val="00D549F4"/>
    <w:rsid w:val="00D64101"/>
    <w:rsid w:val="00D8591E"/>
    <w:rsid w:val="00D8773C"/>
    <w:rsid w:val="00D87D0A"/>
    <w:rsid w:val="00D93082"/>
    <w:rsid w:val="00D97139"/>
    <w:rsid w:val="00DA0ABA"/>
    <w:rsid w:val="00DA388D"/>
    <w:rsid w:val="00DC0253"/>
    <w:rsid w:val="00DC4F70"/>
    <w:rsid w:val="00DC753D"/>
    <w:rsid w:val="00DD0CD4"/>
    <w:rsid w:val="00DD1D2B"/>
    <w:rsid w:val="00DE3C11"/>
    <w:rsid w:val="00DF04F0"/>
    <w:rsid w:val="00E128DF"/>
    <w:rsid w:val="00E147D3"/>
    <w:rsid w:val="00E1782A"/>
    <w:rsid w:val="00E21BC3"/>
    <w:rsid w:val="00E22BF2"/>
    <w:rsid w:val="00E23A94"/>
    <w:rsid w:val="00E30BB5"/>
    <w:rsid w:val="00E31447"/>
    <w:rsid w:val="00E41E58"/>
    <w:rsid w:val="00E422A2"/>
    <w:rsid w:val="00E5220B"/>
    <w:rsid w:val="00E6172B"/>
    <w:rsid w:val="00E669EC"/>
    <w:rsid w:val="00E66A55"/>
    <w:rsid w:val="00E713DA"/>
    <w:rsid w:val="00E813B7"/>
    <w:rsid w:val="00E81C0B"/>
    <w:rsid w:val="00E82874"/>
    <w:rsid w:val="00E845AC"/>
    <w:rsid w:val="00E867FC"/>
    <w:rsid w:val="00E9047D"/>
    <w:rsid w:val="00E97A06"/>
    <w:rsid w:val="00EA399C"/>
    <w:rsid w:val="00EA7B74"/>
    <w:rsid w:val="00EB4C19"/>
    <w:rsid w:val="00EC1215"/>
    <w:rsid w:val="00EC7EB7"/>
    <w:rsid w:val="00ED5FA0"/>
    <w:rsid w:val="00EE0A07"/>
    <w:rsid w:val="00EE6E92"/>
    <w:rsid w:val="00EF03C9"/>
    <w:rsid w:val="00EF05BE"/>
    <w:rsid w:val="00EF0A8C"/>
    <w:rsid w:val="00EF6A28"/>
    <w:rsid w:val="00EF6FBF"/>
    <w:rsid w:val="00F014D9"/>
    <w:rsid w:val="00F05BF1"/>
    <w:rsid w:val="00F06A6A"/>
    <w:rsid w:val="00F07EE2"/>
    <w:rsid w:val="00F14C1D"/>
    <w:rsid w:val="00F1778E"/>
    <w:rsid w:val="00F17A90"/>
    <w:rsid w:val="00F233FF"/>
    <w:rsid w:val="00F27C45"/>
    <w:rsid w:val="00F33C45"/>
    <w:rsid w:val="00F36AE6"/>
    <w:rsid w:val="00F439A7"/>
    <w:rsid w:val="00F46873"/>
    <w:rsid w:val="00F4786D"/>
    <w:rsid w:val="00F504CC"/>
    <w:rsid w:val="00F50E8B"/>
    <w:rsid w:val="00F601D2"/>
    <w:rsid w:val="00F60220"/>
    <w:rsid w:val="00F76A8F"/>
    <w:rsid w:val="00F77C8A"/>
    <w:rsid w:val="00F86AAA"/>
    <w:rsid w:val="00F9055E"/>
    <w:rsid w:val="00F91683"/>
    <w:rsid w:val="00FA17FC"/>
    <w:rsid w:val="00FA5D40"/>
    <w:rsid w:val="00FB17AC"/>
    <w:rsid w:val="00FC622D"/>
    <w:rsid w:val="00FD5083"/>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9B536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rsid w:val="001951FE"/>
    <w:rPr>
      <w:sz w:val="20"/>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rPr>
  </w:style>
  <w:style w:type="character" w:customStyle="1" w:styleId="Heading4Char">
    <w:name w:val="Heading 4 Char"/>
    <w:link w:val="Heading4"/>
    <w:semiHidden/>
    <w:rsid w:val="009B5369"/>
    <w:rPr>
      <w:rFonts w:ascii="Calibri" w:eastAsia="Times New Roman" w:hAnsi="Calibri" w:cs="Times New Roman"/>
      <w:b/>
      <w:bCs/>
      <w:snapToGrid w:val="0"/>
      <w:sz w:val="28"/>
      <w:szCs w:val="28"/>
      <w:lang w:val="en-US" w:eastAsia="en-US"/>
    </w:rPr>
  </w:style>
  <w:style w:type="paragraph" w:customStyle="1" w:styleId="Default">
    <w:name w:val="Default"/>
    <w:rsid w:val="0092504E"/>
    <w:pPr>
      <w:autoSpaceDE w:val="0"/>
      <w:autoSpaceDN w:val="0"/>
      <w:adjustRightInd w:val="0"/>
    </w:pPr>
    <w:rPr>
      <w:rFonts w:ascii="Minion Pro" w:hAnsi="Minion Pro" w:cs="Minion Pro"/>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9725">
      <w:bodyDiv w:val="1"/>
      <w:marLeft w:val="0"/>
      <w:marRight w:val="0"/>
      <w:marTop w:val="0"/>
      <w:marBottom w:val="0"/>
      <w:divBdr>
        <w:top w:val="none" w:sz="0" w:space="0" w:color="auto"/>
        <w:left w:val="none" w:sz="0" w:space="0" w:color="auto"/>
        <w:bottom w:val="none" w:sz="0" w:space="0" w:color="auto"/>
        <w:right w:val="none" w:sz="0" w:space="0" w:color="auto"/>
      </w:divBdr>
    </w:div>
    <w:div w:id="174157204">
      <w:bodyDiv w:val="1"/>
      <w:marLeft w:val="0"/>
      <w:marRight w:val="0"/>
      <w:marTop w:val="0"/>
      <w:marBottom w:val="0"/>
      <w:divBdr>
        <w:top w:val="none" w:sz="0" w:space="0" w:color="auto"/>
        <w:left w:val="none" w:sz="0" w:space="0" w:color="auto"/>
        <w:bottom w:val="none" w:sz="0" w:space="0" w:color="auto"/>
        <w:right w:val="none" w:sz="0" w:space="0" w:color="auto"/>
      </w:divBdr>
    </w:div>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766198834">
      <w:bodyDiv w:val="1"/>
      <w:marLeft w:val="0"/>
      <w:marRight w:val="0"/>
      <w:marTop w:val="0"/>
      <w:marBottom w:val="0"/>
      <w:divBdr>
        <w:top w:val="none" w:sz="0" w:space="0" w:color="auto"/>
        <w:left w:val="none" w:sz="0" w:space="0" w:color="auto"/>
        <w:bottom w:val="none" w:sz="0" w:space="0" w:color="auto"/>
        <w:right w:val="none" w:sz="0" w:space="0" w:color="auto"/>
      </w:divBdr>
    </w:div>
    <w:div w:id="862130794">
      <w:bodyDiv w:val="1"/>
      <w:marLeft w:val="0"/>
      <w:marRight w:val="0"/>
      <w:marTop w:val="0"/>
      <w:marBottom w:val="0"/>
      <w:divBdr>
        <w:top w:val="none" w:sz="0" w:space="0" w:color="auto"/>
        <w:left w:val="none" w:sz="0" w:space="0" w:color="auto"/>
        <w:bottom w:val="none" w:sz="0" w:space="0" w:color="auto"/>
        <w:right w:val="none" w:sz="0" w:space="0" w:color="auto"/>
      </w:divBdr>
    </w:div>
    <w:div w:id="899176717">
      <w:bodyDiv w:val="1"/>
      <w:marLeft w:val="0"/>
      <w:marRight w:val="0"/>
      <w:marTop w:val="0"/>
      <w:marBottom w:val="0"/>
      <w:divBdr>
        <w:top w:val="none" w:sz="0" w:space="0" w:color="auto"/>
        <w:left w:val="none" w:sz="0" w:space="0" w:color="auto"/>
        <w:bottom w:val="none" w:sz="0" w:space="0" w:color="auto"/>
        <w:right w:val="none" w:sz="0" w:space="0" w:color="auto"/>
      </w:divBdr>
    </w:div>
    <w:div w:id="927270306">
      <w:bodyDiv w:val="1"/>
      <w:marLeft w:val="0"/>
      <w:marRight w:val="0"/>
      <w:marTop w:val="0"/>
      <w:marBottom w:val="0"/>
      <w:divBdr>
        <w:top w:val="none" w:sz="0" w:space="0" w:color="auto"/>
        <w:left w:val="none" w:sz="0" w:space="0" w:color="auto"/>
        <w:bottom w:val="none" w:sz="0" w:space="0" w:color="auto"/>
        <w:right w:val="none" w:sz="0" w:space="0" w:color="auto"/>
      </w:divBdr>
    </w:div>
    <w:div w:id="103241348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2796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D33F-2919-4270-84A5-2127D23D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11945</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Ivica Arsov</cp:lastModifiedBy>
  <cp:revision>25</cp:revision>
  <cp:lastPrinted>2024-06-14T12:45:00Z</cp:lastPrinted>
  <dcterms:created xsi:type="dcterms:W3CDTF">2024-06-17T14:03:00Z</dcterms:created>
  <dcterms:modified xsi:type="dcterms:W3CDTF">2025-08-08T06:48:00Z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6bd9ddd1-4d20-43f6-abfa-fc3c07406f94_Enabled">
    <vt:lpwstr>true</vt:lpwstr>
  </property>
  <property fmtid="{D5CDD505-2E9C-101B-9397-08002B2CF9AE}" pid="5" name="MSIP_Label_6bd9ddd1-4d20-43f6-abfa-fc3c07406f94_SetDate">
    <vt:lpwstr>2023-04-04T08:24:05Z</vt:lpwstr>
  </property>
  <property fmtid="{D5CDD505-2E9C-101B-9397-08002B2CF9AE}" pid="6" name="MSIP_Label_6bd9ddd1-4d20-43f6-abfa-fc3c07406f94_Method">
    <vt:lpwstr>Privileged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e2b06f07-c8cb-47fd-ac19-36a976675b57</vt:lpwstr>
  </property>
  <property fmtid="{D5CDD505-2E9C-101B-9397-08002B2CF9AE}" pid="10" name="MSIP_Label_6bd9ddd1-4d20-43f6-abfa-fc3c07406f94_ContentBits">
    <vt:lpwstr>0</vt:lpwstr>
  </property>
</Properties>
</file>